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1058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 la comunicación con radicado N° 20262010017741, mediante la cual ese órgano de control notificó la apertura de la Auditoría Financiera de Gestión y Resultados Abreviada a la E.S.E. Hospital Regional Centro por la vigencia comprendida entre el 1 de enero y el 31 de diciembre de 2025, y al requerimiento del 1 de octubre de 2026 en el que el equipo auditor solicitó los soportes y aclaraciones pendientes de los contratos 1056, 1058 y 983 de 2025, la entidad presenta, dentro del plazo solicitado el 2 de octubre de 2026, la respuesta correspondiente al Contrato de Suministro N° 1058 de 2025 y remite los documentos que la soportan.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Esta comunicación complementa la respuesta remitida el 29 de septiembre de 2026, con su acta de fe de erratas y su anexo aclaratorio, y la comunicación del 5 de octubre de 2026 sobre la Inconsistencia N° 8. Para cada una de las observaciones se indica la explicación de la entidad y el documento que la acredita, y al final se relacionan los anexos.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 del contrato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de Suministro N° 1058 de 2025 tuvo por objeto el suministro de material médico quirúrgico y de material de laboratorio requeridos y necesarios para el funcionamiento de la red hospitalaria de la E.S.E. Hospital Regional Centro. Se celebró con la Cooperativa de Hospitales de Santander y el Nororiente Colombiano, COHOSAN, NIT 804.009.200-4, entidad del sector solidario a la que la E.S.E. se encuentra asociada, por valor de $40.000.000, bajo la modalidad de contratación directa prevista en el Manual de Contratación de la entidad para los contratos con cooperativas u organismos de carácter solidario a los cuales pertenece y para el suministro de elementos hospitalarios y de laboratorio. El contrato se respaldó con el certificado de disponibilidad presupuestal N° 1586 del 5 de diciembre de 2025 y con el registro presupuestal N° 1585 del 11 de diciembre de 2025, con cargo a los rubros 2.4.5.01.04.02, material médico quirúrgico, y 2.4.5.01.04.03, materiales para laboratorio.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acta de inicio se suscribió el 15 de diciembre de 2025, con un plazo máximo de veintiún días. Los bienes fueron entregados entre el 15 y el 24 de diciembre de 2025 mediante quince facturas electrónicas de venta, con sus correspondientes comprobantes de ingreso a almacén, y el acta de recibo final y el acta de liquidación se suscribieron el 30 de diciembre de 2025 por $39.998.124, con un saldo no ejecutado de $1.876 que fue liberado. El pago se ordenó mediante el comprobante de egreso CE-10343 del 30 de diciembre de 2025 y se giró el 13 de enero de 2026 por $38.259.480, una vez aplicados los descuentos.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materia contractual la E.S.E. se rige por el derecho privado y por su Manual de Contratación, adoptado mediante la Resolución 002 de 2023 en desarrollo del Acuerdo 017 de 2022 de la Junta Directiva, y sus modificaciones, con sujeción a los principios de la función administrativa y de la gestión fiscal y al régimen de inhabilidades e incompatibilidades de la contratación estatal.</w:t>
      </w:r>
      <w:r>
        <w:rPr>
          <w:rFonts w:ascii="Times New Roman" w:eastAsia="Arial" w:hAnsi="Times New Roman" w:cs="Times New Roman"/>
          <w:vertAlign w:val="superscript"/>
          <w:sz w:val="24"/>
          <w:szCs w:val="24"/>
          <w:lang w:val="es-CO"/>
        </w:rPr>
        <w:footnoteReference w:id="1"/>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Modalidad de contratación y denominación del proceso en el acta de liquidación y en el formato de rendición. El contrato se celebró por contratación directa, causal aplicable tanto por tratarse de una cooperativa a la que la entidad pertenece como asociada, como por el objeto del contrato, suministro de elementos hospitalarios y de laboratorio. Por el valor del contrato no procedía un proceso competitivo de mínima cuantía, pues el Manual permite acudir a la contratación directa cuando se configura una de sus causales. El encabezado del acta de liquidación registró por error mecanográfico la expresión "invitación directa por régimen especial", corregida mediante el acta aclaratoria al acta de liquidación que se anexa. En cuanto al formato de rendición, la expresión "SIN OFERTAS" corresponde a la opción del aplicativo para los contratos celebrados sin convocatoria competitiva, que es el caso de la contratación directa; en cambio, el rubro y la fecha de terminación allí registrados sí presentan errores de diligenciamiento, pues los rubros afectados son el 2.4.5.01.04.02 y el 2.4.5.01.04.03 y la ejecución terminó el 30 de diciembre de 2025. El reporte ya surtió su transmisión y el aplicativo no permite su edición directa, razón por la cual la entidad solicita respetuosamente indicar el procedimiento para corregirlo, si a ello hubiere lugar. Se anexan la comunicación y la certificación aclaratoria sobre la Inconsistencia N° 8, con copia del certificado de disponibilidad presupuestal N° 1586 y del registro presupuestal N° 1585.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Estudios previos. El documento de estudios previos presentó errores de transcripción derivados del uso de plantillas, entre ellos la cita del Acuerdo 026 de 2022 en lugar del Acuerdo 017 de 2022, la discordancia entre el valor en letras y en números, la referencia a una matriz de riesgos de prestación de servicios y la mención de un plazo hasta el 31 de diciembre de 2025, aspectos ya aclarados en el anexo aclaratorio del 29 de septiembre de 2026. La necesidad real que motivó el contrato, el abastecimiento de la red hospitalaria para el cierre de la vigencia, se acredita con los movimientos de inventario y con el consumo registrado. La entidad reconoce que el listado técnico de los estudios previos debió incluir cantidades y precios estimados por ítem, y adoptará como acción de mejora la elaboración de estudios previos con análisis del valor desagregado para los contratos de suministro.</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Texto de la minuta del contrato. La parte considerativa y algunas cláusulas de la minuta reproducían, por reutilización de plantillas, alusiones a insumos farmacéuticos, de odontología y equipos que no hacen parte del objeto, la cita del Decreto 734 de 2012, norma derogada, y menciones a la modalidad de prestación de servicios. Mediante el acta aclaratoria al texto del contrato, suscrita por las partes, se precisó que el negocio jurídico es exclusivamente un contrato de suministro de material médico quirúrgico y de laboratorio, se suprimieron las alusiones ajenas al objeto y se corrigió la invocación normativa, sin alterar el objeto, el valor ni las demás cláusulas.</w:t>
      </w:r>
      <w:r>
        <w:rPr>
          <w:rFonts w:ascii="Times New Roman" w:eastAsia="Arial" w:hAnsi="Times New Roman" w:cs="Times New Roman"/>
          <w:vertAlign w:val="superscript"/>
          <w:sz w:val="24"/>
          <w:szCs w:val="24"/>
          <w:lang w:val="es-CO"/>
        </w:rPr>
        <w:footnoteReference w:id="2"/>
      </w:r>
      <w:r>
        <w:rPr>
          <w:rFonts w:ascii="Times New Roman" w:eastAsia="Arial" w:hAnsi="Times New Roman" w:cs="Times New Roman"/>
          <w:sz w:val="24"/>
          <w:szCs w:val="24"/>
          <w:lang w:val="es-CO"/>
        </w:rPr>
        <w:t xml:space="preserve"> El acta se anexa.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Garantía. Se anexan la garantía N° 4416662 expedida por Seguros Generales Suramericana S.A., con los amparos de cumplimiento y de calidad del suministro, cada uno por $4.000.000, equivalentes al 10% del valor del contrato, con vigencia del plazo contractual y tres meses más, y el acta de aprobación de la garantía. </w:t>
      </w:r>
      <w:r>
        <w:rPr>
          <w:rFonts w:ascii="Times New Roman" w:eastAsia="Arial" w:hAnsi="Times New Roman" w:cs="Times New Roman"/>
          <w:highlight w:val="yellow"/>
          <w:sz w:val="24"/>
          <w:szCs w:val="24"/>
          <w:lang w:val="es-CO"/>
        </w:rPr>
        <w:t xml:space="preserve">Verificar contra la póliza: fechas de vigencia de cada amparo y fecha del acta de aprobación; ninguno de los dos documentos está en la carpeta compartida.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Comprobante de egreso CE-10343 y descuentos aplicados. El concepto consignado en el comprobante de egreso correspondía a una plantilla de otro contrato y fue corregido mediante la fe de erratas del 29 de septiembre de 2026; el comprobante corresponde al Contrato N° 1058 de 2025, como lo acreditan su valor bruto de $39.998.124, igual al valor del acta de recibo final, las quince facturas que relaciona y la transferencia efectuada a la cuenta de la cooperativa. En cuanto a los descuentos, se practicó retención de IVA del 15% sobre el IVA facturado de $464.737, por $69.711, y no se practicó retención en la fuente a título de renta por tratarse de una cooperativa perteneciente al régimen tributario especial. Se descontaron además la Estampilla Pro-Hospital Universitario Erasmo Meoz, por $741.748, y la Tasa Prodeporte y Recreación, por $927.185, liquidadas sobre el valor excluido de IVA. Revisado el Estatuto de Rentas del Departamento, la entidad encontró que los contratos que celebran los hospitales públicos destinados a la prestación de los servicios de salud del plan de beneficios se encuentran excluidos de las estampillas departamentales, de modo que tales descuentos no debían aplicarse. </w:t>
      </w:r>
      <w:r>
        <w:rPr>
          <w:rFonts w:ascii="Times New Roman" w:eastAsia="Arial" w:hAnsi="Times New Roman" w:cs="Times New Roman"/>
          <w:highlight w:val="yellow"/>
          <w:sz w:val="24"/>
          <w:szCs w:val="24"/>
          <w:lang w:val="es-CO"/>
        </w:rPr>
        <w:t xml:space="preserve">Indicar la acción correctiva: si los valores descontados ya fueron trasladados al Departamento o permanecen en la entidad, y si se gestionará el reintegro o ajuste a favor de la cooperativa.</w:t>
      </w:r>
      <w:r>
        <w:rPr>
          <w:rFonts w:ascii="Times New Roman" w:eastAsia="Arial" w:hAnsi="Times New Roman" w:cs="Times New Roman"/>
          <w:sz w:val="24"/>
          <w:szCs w:val="24"/>
          <w:lang w:val="es-CO"/>
        </w:rPr>
        <w:t xml:space="preserve"> La comunicación de la Gerencia que detalla las facturas, las entradas de almacén, las bases y los descuentos se anexa.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Facturas y comprobantes de entrada. Se anexan las quince facturas electrónicas de venta FVE-124898, 124901, 124902, 124903, 124904, 124905, 124906, 124907, 124916, 124920, 124926, 124947, 124949, 125012 y 125023, y los quince comprobantes de ingreso a almacén FCF-1064 a FCF-1078, cuya correspondencia uno a uno, con base gravable, IVA y total, se detalla en la comunicación de la Gerencia sobre el comprobante de egreso; la suma de los quince documentos es exactamente $39.998.124. El acta de recibo final del 30 de diciembre de 2025 relaciona, por cada factura, los ítems recibidos con cantidad, valor unitario, IVA y total. El número de comprobante "FVE1224926" consignado en el acta de liquidación corresponde a la factura FVE-124926, error tipográfico corregido en el acta aclaratoria.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Informe de actividades e informe de supervisión. El formato de supervisión contenía errores de diligenciamiento, ya aclarados en el anexo aclaratorio del 29 de septiembre de 2026: la fecha de inicio es el 15 de diciembre de 2025, el certificado de disponibilidad presupuestal es el N° 1586 del 5 de diciembre de 2025 y el registro presupuestal el N° 1585 del 11 de diciembre de 2025, el valor pagado es $39.998.124 y la sede de ejecución es Gramalote; el formato empleado corresponde a una plantilla de contratos de prestación de servicios personales que la entidad ajustará para los contratos de suministro. En cuanto a la acreditación de aportes, la contratista es una persona jurídica, de manera que el requisito se acredita con la certificación del revisor fiscal sobre el pago de los aportes al sistema de seguridad social y parafiscales, expedida el 1 de diciembre de 2025, y con las planillas de pago; la planilla del periodo de diciembre de 2025, pagada en enero de 2026 conforme al ciclo mensual de cotización, se anexa.</w:t>
      </w:r>
      <w:r>
        <w:rPr>
          <w:rFonts w:ascii="Times New Roman" w:eastAsia="Arial" w:hAnsi="Times New Roman" w:cs="Times New Roman"/>
          <w:vertAlign w:val="superscript"/>
          <w:sz w:val="24"/>
          <w:szCs w:val="24"/>
          <w:lang w:val="es-CO"/>
        </w:rPr>
        <w:footnoteReference w:id="3"/>
      </w:r>
      <w:r>
        <w:rPr>
          <w:rFonts w:ascii="Times New Roman" w:eastAsia="Arial" w:hAnsi="Times New Roman" w:cs="Times New Roman"/>
          <w:sz w:val="24"/>
          <w:szCs w:val="24"/>
          <w:lang w:val="es-CO"/>
        </w:rPr>
        <w:t xml:space="preserve"> Las entregas se acreditan con los comprobantes de ingreso a almacén y con el acta de recibo final, firmada por la Gerente, por el representante legal de la cooperativa y por la supervisora.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Plazo de ejecución. El plazo pactado fue de veintiún días contados desde el acta de inicio del 15 de diciembre de 2025. Las entregas se realizaron entre el 15 y el 24 de diciembre de 2025 y, cumplido el objeto, las partes suscribieron el acta de recibo final y el acta de liquidación el 30 de diciembre de 2025, de modo que la ejecución real fue de dieciséis días, que es la duración que registra el acta de liquidación. El contrato se ejecutó, recibió y liquidó dentro de la vigencia 2025, y el pago, causado en diciembre de 2025 mediante el comprobante de egreso CE-10343, se giró el 13 de enero de 2026 como cuenta por pagar de esa vigencia. La fecha de terminación registrada en el formato de rendición obedece al error de diligenciamiento ya explicado en el literal 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Referencias erróneas en los documentos de pago. La definitiva de pago N° 3625 citó el "contrato N° 1085", la designación de supervisor citó el "contrato N° 1052", la solicitud definitiva de pago N° 720 mencionó el "RP 1323" y la solicitud de liberación de saldo N° 005 citó el "CDP 1585", el rubro 2.4.5.01.02.01 y el "CDP 1574". Todas son referencias residuales de plantillas, corregidas en la fe de erratas del 29 de septiembre de 2026. Para claridad del equipo auditor se precisa que el único certificado de disponibilidad presupuestal del contrato es el N° 1586 del 5 de diciembre de 2025, el único registro presupuestal es el N° 1585 del 11 de diciembre de 2025, los rubros afectados son el 2.4.5.01.04.02 y el 2.4.5.01.04.03, y que el registro presupuestal N° 1323 y el certificado N° 1574 son ajenos a este contrato. El valor liberado, $1.876, coincide con el saldo no ejecutado del acta de liquidación, $1.523 del rubro de laboratorio y $353 del rubro de material médico quirúrgico. Se anexa la certificación financiera y presupuestal suscrita por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Naturaleza de algunos ítems facturados e imputación entre rubros. Entre los bienes recibidos figuran tres productos que, aunque cuentan con registro sanitario como medicamentos, son insumos de uso asistencial directo: el faboterápico antiescorpiónico Alacramyn, diez viales por $7.397.310, el lactato de Ringer, treinta y cuatro unidades por $106.998, y el agua estéril, por $4.160, para un total de $7.508.468. Su adquisición respondió a necesidades reales del servicio de urgencias y de los procedimientos asistenciales de una institución que atiende población de siete municipios, en su mayoría rural y rural dispersa, expuesta a accidentes por animales ponzoñosos; el kardex del Alacramyn registra en 2025 ciento treinta y ocho unidades de entrada y ciento once de salida, lo que acredita consumo efectivo y reposición del inventario. Los bienes ingresaron al almacén, se consumieron en la prestación del servicio y se pagaron a los precios facturados por la cooperativa, sin que se haya generado detrimento alguno. En cuanto a la imputación, los pagos se aplicaron a los dos rubros amparados por el registro presupuestal N° 1585 sin exceder en ninguno de ellos el valor registrado: $14.999.647 frente a $15.000.000 en material médico quirúrgico y $24.998.477 frente a $25.000.000 en materiales para laboratorio. La observación recae, por tanto, en la clasificación de algunos ítems entre los dos rubros y no en una mayor ejecución ni en un traslado de apropiaciones. La entidad reconoce que el objeto del contrato y los estudios previos debieron describir expresamente estos insumos y que la imputación debió discriminarse por ítem; como acción de mejora, los estudios previos de los contratos de suministro delimitarán el objeto y el rubro por cada tipo de bien. Se anexan la justificación técnica, asistencial y presupuestal, con el kardex correspondiente, y la certificación financiera y presupuestal.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de recibo final y registro fotográfico. Se anexa el acta de recibo final del 30 de diciembre de 2025, que relaciona la totalidad de los ítems recibidos por factura, con sus cantidades y valores, y el registro fotográfico de las entregas. </w:t>
      </w:r>
      <w:r>
        <w:rPr>
          <w:rFonts w:ascii="Times New Roman" w:eastAsia="Arial" w:hAnsi="Times New Roman" w:cs="Times New Roman"/>
          <w:highlight w:val="yellow"/>
          <w:sz w:val="24"/>
          <w:szCs w:val="24"/>
          <w:lang w:val="es-CO"/>
        </w:rPr>
        <w:t xml:space="preserve">Confirmar con la E.S.E. si existe registro fotográfico. Si no existe, reemplazar la frase anterior por: "Como la entidad no conservó registro fotográfico de las entregas, su realidad se acredita con los comprobantes de ingreso a almacén, el kardex y el acta de recibo final, y la entidad incorporará el registro fotográfico en su procedimiento de recibo de bienes."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Documentos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aclaratoria al texto del Contrato de Suministro N° 1058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aclaratoria al acta de liquidación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externa y certificación aclaratoria sobre la Inconsistencia N° 8, formato de rendición, con copia del certificado de disponibilidad presupuestal N° 1586 y del registro presupuestal N° 1585. </w:t>
      </w:r>
      <w:r>
        <w:rPr>
          <w:rFonts w:ascii="Times New Roman" w:eastAsia="Arial" w:hAnsi="Times New Roman" w:cs="Times New Roman"/>
          <w:highlight w:val="yellow"/>
          <w:sz w:val="24"/>
          <w:szCs w:val="24"/>
          <w:lang w:val="es-CO"/>
        </w:rPr>
        <w:t xml:space="preserve">Verificar que se anexen las copias del CDP y del RP.</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Certificación financiera y presupuestal sobre la imputación y ejecución presupuestal del contrato, suscrita por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Justificación técnica, asistencial y presupuestal sobre la naturaleza de los insumos y su afectación financiera, con el kardex del Alacramyn del 1 de enero al 31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Acta de recibo final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Garantía N° 4416662 de Seguros Generales Suramericana S.A. y acta de aprobación. </w:t>
      </w:r>
      <w:r>
        <w:rPr>
          <w:rFonts w:ascii="Times New Roman" w:eastAsia="Arial" w:hAnsi="Times New Roman" w:cs="Times New Roman"/>
          <w:highlight w:val="yellow"/>
          <w:sz w:val="24"/>
          <w:szCs w:val="24"/>
          <w:lang w:val="es-CO"/>
        </w:rPr>
        <w:t xml:space="preserve">No están en la carpeta compartida: 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Quince facturas electrónicas de venta FVE y quince comprobantes de ingreso a almacén FCF-1064 a FCF-1078. </w:t>
      </w:r>
      <w:r>
        <w:rPr>
          <w:rFonts w:ascii="Times New Roman" w:eastAsia="Arial" w:hAnsi="Times New Roman" w:cs="Times New Roman"/>
          <w:highlight w:val="yellow"/>
          <w:sz w:val="24"/>
          <w:szCs w:val="24"/>
          <w:lang w:val="es-CO"/>
        </w:rPr>
        <w:t xml:space="preserve">No están en la carpeta compartida, salvo la FVE-124926 y el FCF-1071: 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Certificación del revisor fiscal de COHOSAN sobre aportes al sistema de seguridad social y parafiscales, del 1 de diciembre de 2025, y planilla del periodo de diciembre de 2025. </w:t>
      </w:r>
      <w:r>
        <w:rPr>
          <w:rFonts w:ascii="Times New Roman" w:eastAsia="Arial" w:hAnsi="Times New Roman" w:cs="Times New Roman"/>
          <w:highlight w:val="yellow"/>
          <w:sz w:val="24"/>
          <w:szCs w:val="24"/>
          <w:lang w:val="es-CO"/>
        </w:rPr>
        <w:t xml:space="preserve">No están en la carpeta compartida: verificar que se anexen.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Comunicación de la Gerencia sobre el comprobante de egreso CE-10343 y los descuentos de estampillas de los contratos 1058 y 983 de 2025, del 5 de octubre de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r>
      <w:r>
        <w:rPr>
          <w:rFonts w:ascii="Times New Roman" w:eastAsia="Arial" w:hAnsi="Times New Roman" w:cs="Times New Roman"/>
          <w:sz w:val="24"/>
          <w:szCs w:val="24"/>
          <w:lang w:val="es-CO"/>
        </w:rPr>
        <w:tab/>
      </w:r>
      <w:r>
        <w:rPr>
          <w:rFonts w:ascii="Times New Roman" w:eastAsia="Arial" w:hAnsi="Times New Roman" w:cs="Times New Roman"/>
          <w:sz w:val="24"/>
          <w:szCs w:val="24"/>
          <w:lang w:val="es-CO"/>
        </w:rPr>
        <w:t xml:space="preserve">Registro fotográfico de las entregas. </w:t>
      </w:r>
      <w:r>
        <w:rPr>
          <w:rFonts w:ascii="Times New Roman" w:eastAsia="Arial" w:hAnsi="Times New Roman" w:cs="Times New Roman"/>
          <w:highlight w:val="yellow"/>
          <w:sz w:val="24"/>
          <w:szCs w:val="24"/>
          <w:lang w:val="es-CO"/>
        </w:rPr>
        <w:t xml:space="preserve">Verificar si existe.</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Con fundamento en lo expuesto y en los documentos que se anexan, la E.S.E. Hospital Regional Centro solicita respetuosamente al equipo auditor valorar la información remitida, tener por aclarada y superada la Inconsistencia N° 8 y tener por atendidas las demás observaciones relativas al Contrato de Suministro N° 1058 de 2025. Las imprecisiones de forma advertidas por la auditoría han sido reconocidas y corregidas en los términos indicados, y las acciones de mejora señaladas serán incorporadas en el plan de mejoramiento que resulte del proceso auditor.</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Reiteramos nuestra disposición de aportar cualquier información o aclaración adicional que el equipo auditor considere necesaria y de atender las visitas o verificaciones que estime pertinentes, en desarrollo de los principios de colaboración y transparencia que orientan la relación de la entidad con el órgano de control.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Código Civil, artículo 1602, conforme al cual lo pactado puede modificarse por el consentimiento mutuo de las partes.</w:t>
      </w:r>
    </w:p>
  </w:footnote>
  <w:footnote w:id="3">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