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del 1 de octubre de 2026 y remisión de soportes del Contrato de Suministro N° 983 de 2025.</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atención a la comunicación con radicado N° 20262010017741, mediante la cual ese órgano de control notificó la apertura de la Auditoría Financiera de Gestión y Resultados Abreviada a la E.S.E. Hospital Regional Centro por la vigencia comprendida entre el 1 de enero y el 31 de diciembre de 2025, y al requerimiento del 1 de octubre de 2026 en el que el equipo auditor solicitó los soportes y aclaraciones pendientes de los contratos 1056, 1058 y 983 de 2025, la entidad presenta, dentro del plazo solicitado el 2 de octubre de 2026, la respuesta correspondiente al Contrato de Suministro N° 983 de 2025 y remite los documentos que la soportan.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Esta comunicación complementa la respuesta remitida el 29 de septiembre de 2026 y recoge, para cada una de las observaciones formuladas, la explicación de la entidad y el documento que la acredita. Con el fin de facilitar la labor del equipo auditor, las respuestas se presentan en el orden de las observaciones y al final se relacionan los anexos.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 Antecedentes del contrato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de Suministro N° 983 de 2025 tuvo por objeto la compra de la dotación informática necesaria y requerida para la operación de los Equipos Básicos en Salud de los municipios de Gramalote, Salazar, Arboledas, Lourdes y Villacaro, en el marco de la ejecución de los recursos asignados mediante la Resolución 877 de 2025 del Ministerio de Salud y Protección Social. Se celebró con la señora Chiquinquirá Contreras Rodríguez, identificada con la cédula de ciudadanía 60.371.860 de Cúcuta, propietaria del establecimiento de comercio System Salud, por valor de $46.321.300 incluido IVA, previo proceso de mínima cuantía adelantado mediante la invitación privada N° 017 de 2025, con respaldo en el certificado de disponibilidad presupuestal N° 1329 y en el registro presupuestal correspondiente. El acta de inicio se suscribió el 9 de octubre de 2025, con un plazo de un mes. Los bienes fueron facturados mediante la factura electrónica FE-2920 del 17 de octubre de 2025, ingresaron al almacén de la entidad según el comprobante FCAF-53 del 20 de octubre de 2025 y se recibieron a satisfacción mediante acta de recibo final del 31 de octubre de 2025. El contrato se pagó en un solo desembolso y fue objeto de liquidación.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materia contractual la E.S.E. se rige por el derecho privado y por su Manual de Contratación, adoptado mediante la Resolución 002 de 2023 en desarrollo del Acuerdo 017 de 2022 de la Junta Directiva, y sus modificaciones, con sujeción a los principios de la función administrativa y de la gestión fiscal y al régimen de inhabilidades e incompatibilidades de la contratación estatal.</w:t>
      </w:r>
      <w:r>
        <w:rPr>
          <w:rFonts w:ascii="Times New Roman" w:eastAsia="Arial" w:hAnsi="Times New Roman" w:cs="Times New Roman"/>
          <w:vertAlign w:val="superscript"/>
          <w:sz w:val="24"/>
          <w:szCs w:val="24"/>
          <w:lang w:val="es-CO"/>
        </w:rPr>
        <w:footnoteReference w:id="1"/>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 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Modalidad de selección y reporte del proceso en el formato de rendición. El contrato se adelantó por la modalidad de mínima cuantía prevista en el Manual de Contratación de la E.S.E., mediante la invitación privada N° 017 de 2025, con recepción y cierre de propuestas, evaluación y traslado del informe de evaluación. Se cursó invitación a </w:t>
      </w:r>
      <w:r>
        <w:rPr>
          <w:rFonts w:ascii="Times New Roman" w:eastAsia="Arial" w:hAnsi="Times New Roman" w:cs="Times New Roman"/>
          <w:highlight w:val="yellow"/>
          <w:sz w:val="24"/>
          <w:szCs w:val="24"/>
          <w:lang w:val="es-CO"/>
        </w:rPr>
        <w:t xml:space="preserve">indicar el número</w:t>
      </w:r>
      <w:r>
        <w:rPr>
          <w:rFonts w:ascii="Times New Roman" w:eastAsia="Arial" w:hAnsi="Times New Roman" w:cs="Times New Roman"/>
          <w:sz w:val="24"/>
          <w:szCs w:val="24"/>
          <w:lang w:val="es-CO"/>
        </w:rPr>
        <w:t xml:space="preserve"> proponentes y se recibió una propuesta, la de la contratista seleccionada, que fue evaluada y habilitada, de manera que la expresión "SIN OFERTAS" consignada en el formato de rendición no describe lo ocurrido: corresponde a un error en el diligenciamiento de ese campo del aplicativo, cuyos formatos no admiten edición directa una vez transmitidos. La entidad reconoce la imprecisión del reporte y solicita respetuosamente al equipo auditor indicar el procedimiento para corregirlo, si a ello hubiere lugar, el cual atenderá de inmediato. Como soporte se anexan la invitación privada N° 017 de 2025, la propuesta presentada, el acta de cierre y el informe de evaluación, la constancia de recibo, traslado y manifestación sobre el informe de evaluación, y la respuesta técnica y jurídica suscrita por la Gerencia y por la supervisora del contrato.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Observaciones sobre el estudio previo. El documento de estudios previos presentó imprecisiones de transcripción derivadas del uso de plantillas institucionales, entre ellas una mención residual a la contratación directa y la referencia a un presupuesto estimado de $46.504.850. Se aclara que la modalidad efectivamente adelantada fue la mínima cuantía y que el valor del contrato, $46.321.300, corresponde al valor de la propuesta presentada por la única oferente habilitada, inferior al presupuesto estimado, lo que representó una economía para la entidad. El compromiso se respaldó por ese valor exacto con el certificado de disponibilidad presupuestal N° 1329 y con el registro presupuestal, sin sobrecosto ni afectación patrimonial. Se anexan los estudios previos y la respuesta técnica y jurídica.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Expedición de la invitación con anterioridad al certificado de disponibilidad presupuestal. Las actuaciones de la etapa preparatoria, entre ellas la indagación de mercado y la invitación, son actos de estructuración de la necesidad que no comprometen recursos. La obligación con cargo al presupuesto solo nació con la expedición del certificado de disponibilidad presupuestal N° 1329 y del registro presupuestal, antes de la suscripción del contrato y del inicio de su ejecución, de modo que no se ejecutó gasto alguno sin apropiación que lo respaldara.</w:t>
      </w:r>
      <w:r>
        <w:rPr>
          <w:rFonts w:ascii="Times New Roman" w:eastAsia="Arial" w:hAnsi="Times New Roman" w:cs="Times New Roman"/>
          <w:vertAlign w:val="superscript"/>
          <w:sz w:val="24"/>
          <w:szCs w:val="24"/>
          <w:lang w:val="es-CO"/>
        </w:rPr>
        <w:footnoteReference w:id="2"/>
      </w:r>
      <w:r>
        <w:rPr>
          <w:rFonts w:ascii="Times New Roman" w:eastAsia="Arial" w:hAnsi="Times New Roman" w:cs="Times New Roman"/>
          <w:sz w:val="24"/>
          <w:szCs w:val="24"/>
          <w:lang w:val="es-CO"/>
        </w:rPr>
        <w:t xml:space="preserve"> No obstante, la entidad acoge la observación como oportunidad de mejora e incorporará en su procedimiento interno la expedición del certificado de disponibilidad presupuestal como paso previo a la apertura de cualquier invitación.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Cierre y evaluación sin fecha y traslado del informe de evaluación. En los formatos del expediente se omitió consignar las fechas exactas de las etapas de cierre y evaluación. La cronología real del proceso fue la siguiente: cierre de recepción de ofertas, 1 de octubre de 2025; evaluación de la propuesta única, 2 de octubre de 2025, fecha en la que el informe fue comunicado a la proponente; término de traslado para observaciones, 3 de octubre de 2025, sin que se presentaran observaciones, con lo cual la evaluación adquirió firmeza y se procedió a la suscripción del contrato. Se anexa la constancia suscrita por la proponente y por el líder de contratación de la entidad sobre el recibo del informe de evaluación, el traslado surtido y la ausencia de observaciones. Con ella se acredita que el traslado se surtió y que se respetó el derecho de contradicción de la oferente, sin perjuicio de que la entidad ajustará sus formatos para que cada etapa del proceso quede fechada en el acta correspondiente.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Plazo reportado en el formato de rendición. El plazo pactado fue de un mes contado a partir del acta de inicio del 9 de octubre de 2025, esto es, hasta el 8 de noviembre de 2025. Los bienes ingresaron al almacén el 20 de octubre de 2025 y se recibieron a satisfacción el 31 de octubre de 2025, dentro del plazo contractual. Las fechas registradas en el formato de rendición, del 7 al 26 de octubre de 2025, obedecen a un error de digitación ya reconocido en la respuesta del 29 de septiembre de 2026, que no altera el plazo pactado ni su cumplimiento. La entidad solicita igualmente orientación sobre el mecanismo para corregir el reporte.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Calidad del supervisor. La supervisión del contrato fue ejercida por una misma funcionaria, la doctora Yolima Beltrán Santander, designada mediante comunicación del 7 de octubre de 2025, quien suscribió el acta de inicio, el acta de recibo final y el formato de supervisión. La diferencia en la denominación de su cargo entre la cláusula del contrato y las actas obedece a un error de diligenciamiento de plantillas y no a un cambio de supervisor. Se anexa la designación.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Nombre de la contratista. La contratista es la señora Chiquinquirá Contreras Rodríguez, identificada con la cédula de ciudadanía 60.371.860 de Cúcuta, tal como consta en la póliza, en el registro presupuestal, en el comprobante de egreso y en el reporte de rendición. En el contrato, en algunas actas y en el acta de aprobación de la garantía se consignó por error el segundo apellido como "Contreras". Se trata de un error de transcripción que no genera duda sobre la identidad de la contratista, pues el número de cédula es el mismo en todos los documentos, aspecto ya aclarado en la respuesta del 29 de septiembre de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Número del certificado de disponibilidad presupuestal citado en el contrato. El contrato cita el certificado de disponibilidad presupuestal como N° 1239, cuando el correcto es el N° 1329, que ampara el proceso por el valor contratado. Se trata de una transposición de dígitos, corregida en la respuesta del 29 de septiembre de 2026. El certificado y el registro presupuestal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Informe de actividades, certificación de supervisión y acreditación de la entrega de los equipos. El pago del contrato se soportó en los documentos que acreditan la entrega real de los bienes: la factura electrónica FE-2920 del 17 de octubre de 2025, el comprobante de ingreso al almacén FCAF-53 del 20 de octubre de 2025 y el acta de recibo final del 31 de octubre de 2025, suscrita por la supervisora. El informe de actividades y el formato de supervisión del 27 de noviembre de 2025 consolidaron en el expediente la certificación de cumplimiento. Dado que el informe de actividades no detalla las cantidades, seriales y sedes de destino de los equipos, se anexa la relación detallada de los portátiles e impresoras entregados, con marca, modelo, serial y sede a la que fueron asignados, junto con el registro fotográfico de los equipos. </w:t>
      </w:r>
      <w:r>
        <w:rPr>
          <w:rFonts w:ascii="Times New Roman" w:eastAsia="Arial" w:hAnsi="Times New Roman" w:cs="Times New Roman"/>
          <w:highlight w:val="yellow"/>
          <w:sz w:val="24"/>
          <w:szCs w:val="24"/>
          <w:lang w:val="es-CO"/>
        </w:rPr>
        <w:t xml:space="preserve">Confirmar con la E.S.E. si existe registro fotográfico de la entrega. Si no existe, reemplazar la frase anterior por: "Como la entidad no conservó registro fotográfico del momento de la entrega, la existencia y ubicación de los equipos se acredita con la relación de seriales y con el registro fotográfico actual de los equipos en las sedes."</w:t>
      </w:r>
      <w:r>
        <w:rPr>
          <w:rFonts w:ascii="Times New Roman" w:eastAsia="Arial" w:hAnsi="Times New Roman" w:cs="Times New Roman"/>
          <w:sz w:val="24"/>
          <w:szCs w:val="24"/>
          <w:lang w:val="es-CO"/>
        </w:rPr>
        <w:t xml:space="preserve"> Como acción de mejora, la entidad ajustará el formato de informe de actividades para los contratos de suministro, de modo que incluya la relación de los bienes entregados con sus seriales.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Correo electrónico registrado en el formato de supervisión. El formato de supervisión de ejecución presentado para el pago registraba un correo electrónico que no corresponde a la contratista. Advertida la inconsistencia, la entidad solicitó a la contratista, el 2 de octubre de 2026, la corrección del formato, y esta lo remitió nuevamente con el correo correcto, factura20.system@gmail.com, que es el mismo que figura en la constancia de traslado del informe de evaluación del 3 de octubre de 2025. Se anexan la solicitud, la constancia de subsanación del 5 de octubre de 2026 y el formato corregido.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Descuentos de estampillas. Al momento del pago se descontó únicamente la Estampilla Pro-Hospital Universitario Erasmo Meoz, por $879.800, equivalente al 2% sobre la base de $43.990.000 antes de IVA. Revisada la liquidación frente al Estatuto de Rentas del Departamento, la entidad concluyó que también resultaban aplicables las estampillas Pro-Cultura, Pro-Adulto Mayor y Pro-Universidad Francisco de Paula Santander, que no fueron descontadas. La entidad acepta la observación, ha dispuesto liquidar los valores correspondientes y adelantar las actuaciones administrativas y contables necesarias para su reconocimiento y traslado a las entidades beneficiarias, y fortalecerá el procedimiento interno de revisión de los descuentos tributarios aplicables a cada contrato. La comunicación suscrita por la Gerencia sobre este punto se anexa.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Garantía única. Se anexa la póliza de garantía única de cumplimiento en favor de entidades estatales N° 460-47-994000091804, expedida por Aseguradora Solidaria de Colombia el 9 de octubre de 2025, con los amparos de cumplimiento y de calidad del bien, cada uno por $4.632.130, equivalentes al 10% del valor del contrato, con vigencia del 7 de octubre de 2025 al 7 de mayo de 2026, que cubre el plazo contractual y seis meses más, conforme a la cláusula décima del contrato, junto con el acta de aprobación de pólizas del 9 de octubre de 2025, fecha en la que también se suscribió el acta de inicio. La póliza de responsabilidad civil extracontractual fue remitida con anterioridad.</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 Documentos que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Estudios previos del proceso. </w:t>
      </w:r>
      <w:r>
        <w:rPr>
          <w:rFonts w:ascii="Times New Roman" w:eastAsia="Arial" w:hAnsi="Times New Roman" w:cs="Times New Roman"/>
          <w:highlight w:val="yellow"/>
          <w:sz w:val="24"/>
          <w:szCs w:val="24"/>
          <w:lang w:val="es-CO"/>
        </w:rPr>
        <w:t xml:space="preserve">No está en la carpeta compartida: 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Invitación privada N° 017 de 2025, propuesta presentada, acta de cierre e informe de evaluación. </w:t>
      </w:r>
      <w:r>
        <w:rPr>
          <w:rFonts w:ascii="Times New Roman" w:eastAsia="Arial" w:hAnsi="Times New Roman" w:cs="Times New Roman"/>
          <w:highlight w:val="yellow"/>
          <w:sz w:val="24"/>
          <w:szCs w:val="24"/>
          <w:lang w:val="es-CO"/>
        </w:rPr>
        <w:t xml:space="preserve">No están en la carpeta compartida: verificar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Constancia de recibo, traslado y manifestación sobre el informe de evaluación, del 3 de octubre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Respuesta técnica, jurídica y subsanación definitiva frente a las observaciones de auditoría del Contrato de Suministro N° 983 de 2025, suscrita por la Gerente y por la supervisora del contrato.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Certificado de disponibilidad presupuestal N° 1329 y registro presupuestal del contrato. </w:t>
      </w:r>
      <w:r>
        <w:rPr>
          <w:rFonts w:ascii="Times New Roman" w:eastAsia="Arial" w:hAnsi="Times New Roman" w:cs="Times New Roman"/>
          <w:highlight w:val="yellow"/>
          <w:sz w:val="24"/>
          <w:szCs w:val="24"/>
          <w:lang w:val="es-CO"/>
        </w:rPr>
        <w:t xml:space="preserve">Verificar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Comunicación de designación de la supervisora del contrato, del 7 de octubre de 2025. </w:t>
      </w:r>
      <w:r>
        <w:rPr>
          <w:rFonts w:ascii="Times New Roman" w:eastAsia="Arial" w:hAnsi="Times New Roman" w:cs="Times New Roman"/>
          <w:highlight w:val="yellow"/>
          <w:sz w:val="24"/>
          <w:szCs w:val="24"/>
          <w:lang w:val="es-CO"/>
        </w:rPr>
        <w:t xml:space="preserve">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Póliza de garantía única N° 460-47-994000091804 y acta de aprobación de pólizas del 9 de octubre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Factura electrónica de venta FE-2920 del 17 de octubre de 2025. </w:t>
      </w:r>
      <w:r>
        <w:rPr>
          <w:rFonts w:ascii="Times New Roman" w:eastAsia="Arial" w:hAnsi="Times New Roman" w:cs="Times New Roman"/>
          <w:highlight w:val="yellow"/>
          <w:sz w:val="24"/>
          <w:szCs w:val="24"/>
          <w:lang w:val="es-CO"/>
        </w:rPr>
        <w:t xml:space="preserve">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Comprobante de ingreso a almacén FCAF-53 del 20 de octubre de 2025. </w:t>
      </w:r>
      <w:r>
        <w:rPr>
          <w:rFonts w:ascii="Times New Roman" w:eastAsia="Arial" w:hAnsi="Times New Roman" w:cs="Times New Roman"/>
          <w:highlight w:val="yellow"/>
          <w:sz w:val="24"/>
          <w:szCs w:val="24"/>
          <w:lang w:val="es-CO"/>
        </w:rPr>
        <w:t xml:space="preserve">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Acta de recibo final del 31 de octubre de 2025. </w:t>
      </w:r>
      <w:r>
        <w:rPr>
          <w:rFonts w:ascii="Times New Roman" w:eastAsia="Arial" w:hAnsi="Times New Roman" w:cs="Times New Roman"/>
          <w:highlight w:val="yellow"/>
          <w:sz w:val="24"/>
          <w:szCs w:val="24"/>
          <w:lang w:val="es-CO"/>
        </w:rPr>
        <w:t xml:space="preserve">Verificar que se anexe.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Relación detallada de los equipos entregados, con marca, modelo, serial y sede de destino, y registro fotográfico. </w:t>
      </w:r>
      <w:r>
        <w:rPr>
          <w:rFonts w:ascii="Times New Roman" w:eastAsia="Arial" w:hAnsi="Times New Roman" w:cs="Times New Roman"/>
          <w:highlight w:val="yellow"/>
          <w:sz w:val="24"/>
          <w:szCs w:val="24"/>
          <w:lang w:val="es-CO"/>
        </w:rPr>
        <w:t xml:space="preserve">Por elaborar por almacén y supervisión.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Solicitud de subsanación del formato de supervisión del 2 de octubre de 2026, constancia de subsanación del 5 de octubre de 2026 y formato de supervisión de ejecución corregido.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m)</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Comunicación de la Gerencia sobre los descuentos de estampillas y el comprobante de egreso de los contratos 983 y 1058 de 2025, del 5 de octubre de 2026.</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Con fundamento en lo expuesto y en los documentos que se anexan, la E.S.E. Hospital Regional Centro solicita respetuosamente al equipo auditor valorar la información remitida y tener por atendidas las observaciones relativas al Contrato de Suministro N° 983 de 2025. Las imprecisiones de forma advertidas por la auditoría han sido reconocidas y corregidas en los términos indicados, y las acciones de mejora señaladas serán incorporadas en el plan de mejoramiento que resulte del proceso auditor.</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Reiteramos nuestra disposición de aportar cualquier información o aclaración adicional que el equipo auditor considere necesaria y de atender las visitas o verificaciones que estime pertinentes, en desarrollo de los principios de colaboración y transparencia que orientan la relación de la entidad con el órgano de control.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DE4070" w14:paraId="5E403577" w14:textId="77777777" w:rsidTr="00E95D9C">
        <w:trPr>
          <w:trHeight w:val="283"/>
        </w:trPr>
        <w:tc>
          <w:tcPr>
            <w:tcW w:w="587" w:type="pct"/>
            <w:vAlign w:val="center"/>
          </w:tcPr>
          <w:p w14:paraId="23D369F5" w14:textId="77777777" w:rsidR="00DE4070" w:rsidRPr="00E95D9C" w:rsidRDefault="00000000">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009494F4" w14:textId="2B2809BA" w:rsidR="00DE4070" w:rsidRPr="00E95D9C" w:rsidRDefault="00E95D9C">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5F2309EA" w14:textId="6F9551BE" w:rsidR="00DE4070" w:rsidRPr="00E95D9C" w:rsidRDefault="00E95D9C">
            <w:pPr>
              <w:spacing w:after="0"/>
              <w:jc w:val="left"/>
              <w:rPr>
                <w:rFonts w:ascii="Times New Roman" w:hAnsi="Times New Roman" w:cs="Times New Roman"/>
                <w:kern w:val="2"/>
              </w:rPr>
            </w:pPr>
            <w:r>
              <w:rPr>
                <w:rFonts w:ascii="Times New Roman" w:hAnsi="Times New Roman" w:cs="Times New Roman"/>
                <w:noProof/>
                <w:kern w:val="2"/>
              </w:rPr>
              <w:drawing>
                <wp:anchor distT="0" distB="0" distL="114300" distR="114300" simplePos="0" relativeHeight="251658240" behindDoc="1" locked="0" layoutInCell="1" allowOverlap="1" wp14:anchorId="5B23B1C0" wp14:editId="2F23079C">
                  <wp:simplePos x="0" y="0"/>
                  <wp:positionH relativeFrom="column">
                    <wp:posOffset>756920</wp:posOffset>
                  </wp:positionH>
                  <wp:positionV relativeFrom="paragraph">
                    <wp:posOffset>-123825</wp:posOffset>
                  </wp:positionV>
                  <wp:extent cx="190500" cy="508000"/>
                  <wp:effectExtent l="0" t="0" r="0" b="6350"/>
                  <wp:wrapNone/>
                  <wp:docPr id="117274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44955" name="Imagen 1172744955"/>
                          <pic:cNvPicPr/>
                        </pic:nvPicPr>
                        <pic:blipFill rotWithShape="1">
                          <a:blip r:embed="rId6" cstate="print">
                            <a:extLst>
                              <a:ext uri="{28A0092B-C50C-407E-A947-70E740481C1C}">
                                <a14:useLocalDpi xmlns:a14="http://schemas.microsoft.com/office/drawing/2010/main" val="0"/>
                              </a:ext>
                            </a:extLst>
                          </a:blip>
                          <a:srcRect l="31605" t="25992" r="43539" b="11284"/>
                          <a:stretch>
                            <a:fillRect/>
                          </a:stretch>
                        </pic:blipFill>
                        <pic:spPr bwMode="auto">
                          <a:xfrm>
                            <a:off x="0" y="0"/>
                            <a:ext cx="190500" cy="50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kern w:val="2"/>
              </w:rPr>
              <w:t>Firma:</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DCDB8" w14:textId="77777777" w:rsidR="004C0378" w:rsidRDefault="004C0378">
      <w:r>
        <w:separator/>
      </w:r>
    </w:p>
  </w:endnote>
  <w:endnote w:type="continuationSeparator" w:id="0">
    <w:p w14:paraId="10802AD9" w14:textId="77777777" w:rsidR="004C0378" w:rsidRDefault="004C0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D2B0A" w14:textId="77777777" w:rsidR="004C0378" w:rsidRDefault="004C0378">
      <w:pPr>
        <w:spacing w:after="0"/>
      </w:pPr>
      <w:r>
        <w:separator/>
      </w:r>
    </w:p>
  </w:footnote>
  <w:footnote w:type="continuationSeparator" w:id="0">
    <w:p w14:paraId="20080032" w14:textId="77777777" w:rsidR="004C0378" w:rsidRDefault="004C0378">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Decreto 111 de 1996, artículo 71, y Decreto 115 de 1996, artículo 21, normas que rigen el presupuesto de la E.S.E. por remisión del artículo 68 de sus Estatutos, Acuerdo 006 de 2014 de la Junta Directiva.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C4020"/>
    <w:rsid w:val="003F311D"/>
    <w:rsid w:val="00405478"/>
    <w:rsid w:val="004705D9"/>
    <w:rsid w:val="00484C4D"/>
    <w:rsid w:val="004B3B04"/>
    <w:rsid w:val="004B6CD9"/>
    <w:rsid w:val="004C0378"/>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4076A"/>
    <w:rsid w:val="008B160D"/>
    <w:rsid w:val="008B4C10"/>
    <w:rsid w:val="008C15A3"/>
    <w:rsid w:val="008C6F62"/>
    <w:rsid w:val="008D6EEF"/>
    <w:rsid w:val="008E3B77"/>
    <w:rsid w:val="009332A9"/>
    <w:rsid w:val="0093332B"/>
    <w:rsid w:val="0093587C"/>
    <w:rsid w:val="00965F51"/>
    <w:rsid w:val="00970BEE"/>
    <w:rsid w:val="009905FE"/>
    <w:rsid w:val="009A35B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C1594"/>
    <w:rsid w:val="00BD50D1"/>
    <w:rsid w:val="00BF10B0"/>
    <w:rsid w:val="00C64230"/>
    <w:rsid w:val="00C947D6"/>
    <w:rsid w:val="00C95256"/>
    <w:rsid w:val="00CA3F01"/>
    <w:rsid w:val="00CA41C9"/>
    <w:rsid w:val="00CB786B"/>
    <w:rsid w:val="00CC5003"/>
    <w:rsid w:val="00CC67F9"/>
    <w:rsid w:val="00CE1A9C"/>
    <w:rsid w:val="00CE37F7"/>
    <w:rsid w:val="00CF66EB"/>
    <w:rsid w:val="00D47E14"/>
    <w:rsid w:val="00D51A48"/>
    <w:rsid w:val="00D52CA1"/>
    <w:rsid w:val="00D92C91"/>
    <w:rsid w:val="00DA588F"/>
    <w:rsid w:val="00DB3A8F"/>
    <w:rsid w:val="00DD5FDD"/>
    <w:rsid w:val="00DE4070"/>
    <w:rsid w:val="00E06441"/>
    <w:rsid w:val="00E30C10"/>
    <w:rsid w:val="00E332F4"/>
    <w:rsid w:val="00E3577F"/>
    <w:rsid w:val="00E55AD1"/>
    <w:rsid w:val="00E8158D"/>
    <w:rsid w:val="00E95D9C"/>
    <w:rsid w:val="00EC6E60"/>
    <w:rsid w:val="00ED2745"/>
    <w:rsid w:val="00EF6B23"/>
    <w:rsid w:val="00F0434F"/>
    <w:rsid w:val="00F055D9"/>
    <w:rsid w:val="00F1071B"/>
    <w:rsid w:val="00F37E90"/>
    <w:rsid w:val="00F5680A"/>
    <w:rsid w:val="00F816BF"/>
    <w:rsid w:val="00FE02F1"/>
    <w:rsid w:val="00FE208F"/>
    <w:rsid w:val="00FE546C"/>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250</Words>
  <Characters>1380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2026-10-06T22:45:00Z</dcterms:created>
  <dcterms:modified xsi:type="dcterms:W3CDTF">2026-10-06T22:45:00Z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