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NOTA INTERNA – PENDIENTES ANTES DE RADICAR</w:t>
      </w:r>
    </w:p>
    <w:p>
      <w:pPr>
        <w:jc w:val="both"/>
      </w:pPr>
      <w:r>
        <w:t>Respuesta a la Contraloría General del Departamento Norte de Santander. Contratos 983, 1058 y 1056 de 2025. Fecha: 7 de octubre de 2026. Documento de trabajo; no se radica.</w:t>
      </w:r>
    </w:p>
    <w:p>
      <w:pPr>
        <w:spacing w:before="200"/>
      </w:pPr>
      <w:r>
        <w:rPr>
          <w:b/>
        </w:rPr>
        <w:t>1. Cómo radicar</w:t>
      </w:r>
    </w:p>
    <w:p>
      <w:pPr>
        <w:jc w:val="both"/>
      </w:pPr>
      <w:r>
        <w:t>Se entrega un oficio único de respuesta con un capítulo por contrato (I: 983, II: 1058, III: 1056), consideración final y solicitud comunes, y además los tres oficios separados con el mismo contenido. Si los tres capítulos están listos hoy, se radica el oficio único. Si el capítulo del 1056 no alcanza (certificado de tradición, acta de recibo, certificación de la supervisora), se radican hoy los oficios del 983 y del 1058 y una comunicación de una página que anuncie la fecha de entrega del 1056; la no atención de un requerimiento es sancionable (Ley 42 de 1993, artículos 100 y 101). Todo por la Ventanilla Única de Correspondencia, con atención a la auditora designada.</w:t>
      </w:r>
    </w:p>
    <w:p>
      <w:pPr>
        <w:jc w:val="both"/>
      </w:pPr>
      <w:r>
        <w:t>Los fragmentos resaltados en amarillo son marcadores internos. Deben resolverse y retirarse antes de radicar. Ninguno puede quedar en el texto.</w:t>
      </w:r>
    </w:p>
    <w:p>
      <w:pPr>
        <w:spacing w:before="200"/>
      </w:pPr>
      <w:r>
        <w:rPr>
          <w:b/>
        </w:rPr>
        <w:t>2. Líneas rojas (seguridad jurídica de la Gerente)</w:t>
      </w:r>
    </w:p>
    <w:p>
      <w:pPr>
        <w:pStyle w:val="ListBullet"/>
        <w:jc w:val="both"/>
      </w:pPr>
      <w:r>
        <w:t>Ningún documento se fecha en una fecha anterior a su elaboración ni se modifican metadatos. La constancia de traslado del informe de evaluación del 983 se firma hoy, con fecha de hoy, como certificación de hechos ocurridos el 2 y 3 de octubre de 2025.</w:t>
      </w:r>
    </w:p>
    <w:p>
      <w:pPr>
        <w:pStyle w:val="ListBullet"/>
        <w:jc w:val="both"/>
      </w:pPr>
      <w:r>
        <w:t>No se marcan casillas ni se añaden firmas a documentos ya suscritos (formato PL-FO-13 del 22 de enero de 2026, acta de aprobación de pólizas, formatos de supervisión). Lo que falte se certifica hoy en documento aparte con fecha actual.</w:t>
      </w:r>
    </w:p>
    <w:p>
      <w:pPr>
        <w:pStyle w:val="ListBullet"/>
        <w:jc w:val="both"/>
      </w:pPr>
      <w:r>
        <w:t>No se afirma nada que el expediente no soporte: habilitación de la ambulancia en el REPS, idoneidad de la lámpara, quién pagó el SOAT de 2026, numeración de las causales del Manual, existencia de actas de recibo.</w:t>
      </w:r>
    </w:p>
    <w:p>
      <w:pPr>
        <w:pStyle w:val="ListBullet"/>
        <w:jc w:val="both"/>
      </w:pPr>
      <w:r>
        <w:t>No se omite ningún documento expresamente requerido. Si no existe, el oficio lo dice y explica con qué otro documento se acredita el hecho.</w:t>
      </w:r>
    </w:p>
    <w:p>
      <w:pPr>
        <w:spacing w:before="200"/>
      </w:pPr>
      <w:r>
        <w:rPr>
          <w:b/>
        </w:rPr>
        <w:t>3. Documentos por obtener o corregir hoy – Contrato 983</w:t>
      </w:r>
    </w:p>
    <w:p>
      <w:pPr>
        <w:pStyle w:val="ListBullet"/>
        <w:jc w:val="both"/>
      </w:pPr>
      <w:r>
        <w:t>Firmar hoy la certificación de hechos de los días 2 y 3 de octubre de 2025 (proponente y líder de contratación); anexar, si existe, el correo del 2 de octubre de 2025 con el que se remitió el informe de evaluación.</w:t>
      </w:r>
    </w:p>
    <w:p>
      <w:pPr>
        <w:pStyle w:val="ListBullet"/>
        <w:jc w:val="both"/>
      </w:pPr>
      <w:r>
        <w:t>No anexar la "Respuesta técnica, jurídica y subsanación definitiva" mientras cite el artículo 34 del Manual, el artículo 24 de la Ley 80 de 1993, la pluralidad de oferentes y la firma del contrato el 9 de octubre. El oficio es la respuesta.</w:t>
      </w:r>
    </w:p>
    <w:p>
      <w:pPr>
        <w:pStyle w:val="ListBullet"/>
        <w:jc w:val="both"/>
      </w:pPr>
      <w:r>
        <w:t>Reexpedir con fecha de hoy la solicitud del 2 de octubre y la constancia del 5 de octubre de 2026: dicen "señor Chinquinquira" y "Contrato de Prestación de Servicios".</w:t>
      </w:r>
    </w:p>
    <w:p>
      <w:pPr>
        <w:pStyle w:val="ListBullet"/>
        <w:jc w:val="both"/>
      </w:pPr>
      <w:r>
        <w:t>Confirmar número del RP (el formato de supervisión corregido dice "RP 1329", igual al CDP), número y fecha del comprobante de egreso, y que el acta de recibo final del 31 de octubre de 2025 existe, está firmada y es anterior al egreso.</w:t>
      </w:r>
    </w:p>
    <w:p>
      <w:pPr>
        <w:pStyle w:val="ListBullet"/>
        <w:jc w:val="both"/>
      </w:pPr>
      <w:r>
        <w:t>Conseguir: estudio previo, invitación N° 017, propuesta, acta de cierre, informe de evaluación, CDP 1329 y RP, designación de la supervisora, factura FE-2920, comprobante FCAF-53, relación de equipos con seriales y sede. Si falta alguno, ajustar el literal correspondiente para no afirmar que se anexa.</w:t>
      </w:r>
    </w:p>
    <w:p>
      <w:pPr>
        <w:pStyle w:val="ListBullet"/>
        <w:jc w:val="both"/>
      </w:pPr>
      <w:r>
        <w:t>Estampillas: confirmar con la Secretaría de Hacienda el estatuto vigente en octubre de 2025 y decidir quién asume los valores no retenidos. No aceptar estampillas concretas en el oficio.</w:t>
      </w:r>
    </w:p>
    <w:p>
      <w:pPr>
        <w:spacing w:before="200"/>
      </w:pPr>
      <w:r>
        <w:rPr>
          <w:b/>
        </w:rPr>
        <w:t>4. Documentos por obtener o corregir hoy – Contrato 1058</w:t>
      </w:r>
    </w:p>
    <w:p>
      <w:pPr>
        <w:pStyle w:val="ListBullet"/>
        <w:jc w:val="both"/>
      </w:pPr>
      <w:r>
        <w:t>Corregir el acta aclaratoria al contrato: cláusula segunda (niega la entrega de insumos farmacéuticos que el acta de recibo final sí relaciona) y cláusula tercera (régimen de derecho privado, no Ley 80). Fecharla y firmarla en 2026. Extender la aclaración al acta de recibo final.</w:t>
      </w:r>
    </w:p>
    <w:p>
      <w:pPr>
        <w:pStyle w:val="ListBullet"/>
        <w:jc w:val="both"/>
      </w:pPr>
      <w:r>
        <w:t>Depurar la comunicación sobre la Inconsistencia N° 8: retirar los residuos "[cite]" y corregir el numeral 4 de la certificación.</w:t>
      </w:r>
    </w:p>
    <w:p>
      <w:pPr>
        <w:pStyle w:val="ListBullet"/>
        <w:jc w:val="both"/>
      </w:pPr>
      <w:r>
        <w:t>Reexpedir la certificación financiera sin la expresión "variación en la afectación entre subrubros", certificando distribución y ejecución por rubro sin traslados.</w:t>
      </w:r>
    </w:p>
    <w:p>
      <w:pPr>
        <w:pStyle w:val="ListBullet"/>
        <w:jc w:val="both"/>
      </w:pPr>
      <w:r>
        <w:t>Obtener: póliza 4416662 y acta de aprobación (nunca se han enviado); quince facturas y quince comprobantes de ingreso, con nota de ajuste del FCF-1076 y explicación de la fecha del FCF-1070; certificación del revisor fiscal y planillas de noviembre y diciembre; certificado de asociación, certificado de existencia y RUT de COHOSAN.</w:t>
      </w:r>
    </w:p>
    <w:p>
      <w:pPr>
        <w:pStyle w:val="ListBullet"/>
        <w:jc w:val="both"/>
      </w:pPr>
      <w:r>
        <w:t>Verificar en la Ordenanza 018 de 2025 si la Tasa Prodeporte tiene exclusión propia y si los valores descontados ya se trasladaron al Departamento.</w:t>
      </w:r>
    </w:p>
    <w:p>
      <w:pPr>
        <w:spacing w:before="200"/>
      </w:pPr>
      <w:r>
        <w:rPr>
          <w:b/>
        </w:rPr>
        <w:t>5. Documentos por obtener o corregir hoy – Contrato 1056</w:t>
      </w:r>
    </w:p>
    <w:p>
      <w:pPr>
        <w:pStyle w:val="ListBullet"/>
        <w:jc w:val="both"/>
      </w:pPr>
      <w:r>
        <w:t>Generar hoy la consulta del RUNT de la placa NSX651 desde la entidad y solicitar al organismo de tránsito de Cáqueza el certificado de tradición. La defensa de la propiedad es registral.</w:t>
      </w:r>
    </w:p>
    <w:p>
      <w:pPr>
        <w:pStyle w:val="ListBullet"/>
        <w:jc w:val="both"/>
      </w:pPr>
      <w:r>
        <w:t>Exigir a la contratista aclaración escrita de la fecha del contrato de compraventa (29 de abril de 2025, con placa asignada el 9 de mayo de 2025). No anexarlo sin esa aclaración; la respuesta del contratista se remite "en los términos recibidos".</w:t>
      </w:r>
    </w:p>
    <w:p>
      <w:pPr>
        <w:pStyle w:val="ListBullet"/>
        <w:jc w:val="both"/>
      </w:pPr>
      <w:r>
        <w:t>Suscribir hoy, con fecha de hoy, el acta de recibo a satisfacción (y de liquidación, si el contrato la previó) firmada por la supervisora, el Líder de Almacén y, si es posible, la contratista, con placa, VIN, motor, kilometraje y ubicación.</w:t>
      </w:r>
    </w:p>
    <w:p>
      <w:pPr>
        <w:pStyle w:val="ListBullet"/>
        <w:jc w:val="both"/>
      </w:pPr>
      <w:r>
        <w:t>Certificación de la supervisora, con fecha de hoy, sobre los elementos recibidos el 22 de enero de 2026 y la idoneidad de la lámpara. Lote y vencimiento de las tres bolsas de lactato.</w:t>
      </w:r>
    </w:p>
    <w:p>
      <w:pPr>
        <w:pStyle w:val="ListBullet"/>
        <w:jc w:val="both"/>
      </w:pPr>
      <w:r>
        <w:t>Verificar quién tomó y pagó el SOAT 43089245 antes de afirmar el cumplimiento de la cláusula décima primera.</w:t>
      </w:r>
    </w:p>
    <w:p>
      <w:pPr>
        <w:pStyle w:val="ListBullet"/>
        <w:jc w:val="both"/>
      </w:pPr>
      <w:r>
        <w:t>Decisión sobre el literal h) (año-modelo): confirmar en la minuta, los estudios previos y la factura FEI2168 si dicen "modelo 2026". Si lo dicen, se recomienda incluirlo con la acción correctiva (ficha técnica, nota de ajuste a la factura, comparación de precios de mercado 2025/2026) y enviar hoy el requerimiento a la contratista. Revisar si la Resolución 1947 de 2025 exigía vehículo nuevo o condicionó los recursos.</w:t>
      </w:r>
    </w:p>
    <w:p>
      <w:pPr>
        <w:pStyle w:val="ListBullet"/>
        <w:jc w:val="both"/>
      </w:pPr>
      <w:r>
        <w:t>Confirmar la cláusula sexta (oportunidad del pago único) y si la Resolución 1947 de 2025 exigía ejecutar los recursos en 2025; confirmar la habilitación de la ambulancia en el REPS; confirmar el dígito de verificación del NIT de la E.S.E.; verificar qué contenía exactamente el enlace enviado el 1 de octubre de 2026.</w:t>
      </w:r>
    </w:p>
    <w:p>
      <w:pPr>
        <w:spacing w:before="200"/>
      </w:pPr>
      <w:r>
        <w:rPr>
          <w:b/>
        </w:rPr>
        <w:t>6. Riesgos que no van en el oficio pero deben conocerse</w:t>
      </w:r>
    </w:p>
    <w:p>
      <w:pPr>
        <w:pStyle w:val="ListBullet"/>
        <w:jc w:val="both"/>
      </w:pPr>
      <w:r>
        <w:t>1056: el informe de actividades de diciembre de 2025 habla de "planeación del carrozado" de un vehículo que el RUNT registra como ambulancia desde mayo de 2025, y el pago total se hizo el 26 de diciembre de 2025, antes de la entrega del 16 de enero de 2026. El oficio lo presenta como pago único pactado con garantía vigente y entrega dentro del plazo; no se califica como anticipo.</w:t>
      </w:r>
    </w:p>
    <w:p>
      <w:pPr>
        <w:pStyle w:val="ListBullet"/>
        <w:jc w:val="both"/>
      </w:pPr>
      <w:r>
        <w:t>1056: los amparos de cumplimiento y calidad están vencidos desde junio y agosto de 2026. No se menciona ni se anuncia reclamación a la aseguradora.</w:t>
      </w:r>
    </w:p>
    <w:p>
      <w:pPr>
        <w:pStyle w:val="ListBullet"/>
        <w:jc w:val="both"/>
      </w:pPr>
      <w:r>
        <w:t>1056: el contratista afirma que la ambulancia "estaba en el mercado para vender" y la compró a una persona natural por $260.000.000. No se adopta esa narrativa ni se citan precios de la cadena.</w:t>
      </w:r>
    </w:p>
    <w:p>
      <w:pPr>
        <w:pStyle w:val="ListBullet"/>
        <w:jc w:val="both"/>
      </w:pPr>
      <w:r>
        <w:t>983: la vigencia de la póliza termina el 7 de mayo de 2026; si el plazo se cuenta desde el acta de inicio del 9 de octubre, falta un día para "plazo y seis meses más". El oficio dice que supera en más de seis meses el recibo final.</w:t>
      </w:r>
    </w:p>
    <w:p>
      <w:pPr>
        <w:pStyle w:val="ListBullet"/>
        <w:jc w:val="both"/>
      </w:pPr>
      <w:r>
        <w:t>983: el formato de supervisión corregido sigue diciendo "Sub Gerente Administrativo y Financiero", "contrato de prestación de servicios personales" y "sede Cúcuta". El oficio explica el error de cargo y de plantilla; no afirma que el formato quedó totalmente corregido.</w:t>
      </w:r>
    </w:p>
    <w:p>
      <w:pPr>
        <w:pStyle w:val="ListBullet"/>
        <w:jc w:val="both"/>
      </w:pPr>
      <w:r>
        <w:t>Los tres: la numeración de las causales del Manual (29.2.x en la Resolución 002 de 2023; 30.2.x en los contratos) y la vigencia de la Resolución 143 de 2025 deben unificarse en todos los documentos que se radiquen.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