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Gramalote, 7 de octubre de 2026</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Señores</w:t>
      </w: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CONTRALORÍA GENERAL DEL DEPARTAMENTO NORTE DE SANTANDER</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Atención: doctora Gloria Esperanza Vera Castillo, Profesional Universitario, Auditora designada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San José de Cúcuta</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Asunto:</w:t>
      </w:r>
      <w:r>
        <w:rPr>
          <w:rFonts w:ascii="Times New Roman" w:eastAsia="Arial" w:hAnsi="Times New Roman" w:cs="Times New Roman"/>
          <w:sz w:val="24"/>
          <w:szCs w:val="24"/>
          <w:lang w:val="es-CO"/>
        </w:rPr>
        <w:t xml:space="preserve"> Respuesta al requerimiento de alcance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sobre el Contrato de Compraventa N° 1056 de 2025 (adquisición y dotación de una ambulancia básica) y remisión de soportes.</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Referencia:</w:t>
      </w:r>
      <w:r>
        <w:rPr>
          <w:rFonts w:ascii="Times New Roman" w:eastAsia="Arial" w:hAnsi="Times New Roman" w:cs="Times New Roman"/>
          <w:sz w:val="24"/>
          <w:szCs w:val="24"/>
          <w:lang w:val="es-CO"/>
        </w:rPr>
        <w:t xml:space="preserve"> Auditoría Financiera de Gestión y Resultados Abreviada, vigencia 2025. Radicado N° 20262010017741 del 18 de agosto de 2026.</w:t>
      </w:r>
    </w:p>
    <w:p>
      <w:pPr>
        <w:spacing w:before="0" w:after="0" w:line="276" w:lineRule="auto"/>
        <w:jc w:val="both"/>
        <w:rPr>
          <w:rFonts w:ascii="Times New Roman" w:eastAsia="Arial" w:hAnsi="Times New Roman" w:cs="Times New Roman"/>
          <w:sz w:val="24"/>
          <w:szCs w:val="24"/>
          <w:lang w:val="es-CO"/>
        </w:rPr>
      </w:pP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Cordial saludo.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atención al requerimiento de alcance del </w:t>
      </w:r>
      <w:r>
        <w:rPr>
          <w:rFonts w:ascii="Times New Roman" w:eastAsia="Arial" w:hAnsi="Times New Roman" w:cs="Times New Roman"/>
          <w:highlight w:val="yellow"/>
          <w:sz w:val="24"/>
          <w:szCs w:val="24"/>
          <w:lang w:val="es-CO"/>
        </w:rPr>
        <w:t xml:space="preserve">fecha y radicado del oficio de la Contraloría</w:t>
      </w:r>
      <w:r>
        <w:rPr>
          <w:rFonts w:ascii="Times New Roman" w:eastAsia="Arial" w:hAnsi="Times New Roman" w:cs="Times New Roman"/>
          <w:sz w:val="24"/>
          <w:szCs w:val="24"/>
          <w:lang w:val="es-CO"/>
        </w:rPr>
        <w:t xml:space="preserve"> sobre el Contrato N° 1056 de 2025, formulado dentro de la auditoría de la referencia, y </w:t>
      </w:r>
      <w:r>
        <w:rPr>
          <w:rFonts w:ascii="Times New Roman" w:eastAsia="Arial" w:hAnsi="Times New Roman" w:cs="Times New Roman"/>
          <w:highlight w:val="yellow"/>
          <w:sz w:val="24"/>
          <w:szCs w:val="24"/>
          <w:lang w:val="es-CO"/>
        </w:rPr>
        <w:t xml:space="preserve">dentro del término fijado en ese oficio / dentro del plazo solicitado el 2 de octubre de 2026, citar radicado</w:t>
      </w:r>
      <w:r>
        <w:rPr>
          <w:rFonts w:ascii="Times New Roman" w:eastAsia="Arial" w:hAnsi="Times New Roman" w:cs="Times New Roman"/>
          <w:sz w:val="24"/>
          <w:szCs w:val="24"/>
          <w:lang w:val="es-CO"/>
        </w:rPr>
        <w:t xml:space="preserve">, la E.S.E. Hospital Regional Centro responde cada punto en el mismo orden y remite los soportes que lo acreditan. Las respuestas de los contratos 983 y 1058 de 2025 se radican por separado. Los documentos remitidos el 1 de octubre de 2026 </w:t>
      </w:r>
      <w:r>
        <w:rPr>
          <w:rFonts w:ascii="Times New Roman" w:eastAsia="Arial" w:hAnsi="Times New Roman" w:cs="Times New Roman"/>
          <w:highlight w:val="yellow"/>
          <w:sz w:val="24"/>
          <w:szCs w:val="24"/>
          <w:lang w:val="es-CO"/>
        </w:rPr>
        <w:t xml:space="preserve">verificar el contenido exacto del enlace enviado ese día y enumerar solo lo que contenía</w:t>
      </w:r>
      <w:r>
        <w:rPr>
          <w:rFonts w:ascii="Times New Roman" w:eastAsia="Arial" w:hAnsi="Times New Roman" w:cs="Times New Roman"/>
          <w:sz w:val="24"/>
          <w:szCs w:val="24"/>
          <w:lang w:val="es-CO"/>
        </w:rPr>
        <w:t xml:space="preserve"> se mantienen y no se repiten; los que este oficio cita y no hicieron parte de esa remisión se anexan. La respuesta de la contratista del 6 de octubre de 2026 se remite en los términos en que fue recibida; la posición de la entidad es la que se expone en este oficio.</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 Antecedentes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se celebró el 16 de diciembre de 2025 con Import Medical Supplies S.A.S., NIT 900.848.658-0, por $285.781.351, para la adquisición y dotación de una ambulancia de transporte asistencial básico para el servicio de salud que la E.S.E. presta en el municipio de San Cayetano, con recursos asignados por la Resolución 1947 de 2025 del Ministerio de Salud y Protección Social y recursos propios </w:t>
      </w:r>
      <w:r>
        <w:rPr>
          <w:rFonts w:ascii="Times New Roman" w:eastAsia="Arial" w:hAnsi="Times New Roman" w:cs="Times New Roman"/>
          <w:highlight w:val="yellow"/>
          <w:sz w:val="24"/>
          <w:szCs w:val="24"/>
          <w:lang w:val="es-CO"/>
        </w:rPr>
        <w:t xml:space="preserve">CDP y RP, números y fechas</w:t>
      </w:r>
      <w:r>
        <w:rPr>
          <w:rFonts w:ascii="Times New Roman" w:eastAsia="Arial" w:hAnsi="Times New Roman" w:cs="Times New Roman"/>
          <w:sz w:val="24"/>
          <w:szCs w:val="24"/>
          <w:lang w:val="es-CO"/>
        </w:rPr>
        <w:t xml:space="preserve">. El precio se pagó en un solo pago el 26 de diciembre de 2025, mediante los comprobantes de egreso CE-10213 (recursos propios) y CE-10217 (recursos de la Resolución 1947 de 2025), con los soportes previstos en la cláusula sexta: la factura FEI2168, el comprobante FCAF-55 con el que el almacén registró el activo, el registro fotográfico del chasis y el informe de supervisión del primer periodo, y con la garantía de cumplimiento del 30% vigente (póliza N° 53-44-101042119 de Seguros del Estado S.A.) </w:t>
      </w:r>
      <w:r>
        <w:rPr>
          <w:rFonts w:ascii="Times New Roman" w:eastAsia="Arial" w:hAnsi="Times New Roman" w:cs="Times New Roman"/>
          <w:highlight w:val="yellow"/>
          <w:sz w:val="24"/>
          <w:szCs w:val="24"/>
          <w:lang w:val="es-CO"/>
        </w:rPr>
        <w:t xml:space="preserve">confirmar en la cláusula sexta la oportunidad pactada para el pago único; si la Resolución 1947 de 2025 exigía ejecutar los recursos dentro de la vigencia 2025, citarlo aquí</w:t>
      </w:r>
      <w:r>
        <w:rPr>
          <w:rFonts w:ascii="Times New Roman" w:eastAsia="Arial" w:hAnsi="Times New Roman" w:cs="Times New Roman"/>
          <w:sz w:val="24"/>
          <w:szCs w:val="24"/>
          <w:lang w:val="es-CO"/>
        </w:rPr>
        <w:t xml:space="preserve">. La entrega física y la verificación técnica se realizaron el 16 de enero de 2026, los elementos pendientes se recibieron el 22 de enero y la matrícula a nombre de la entidad se inscribió el 30 de enero de 2026, dentro del plazo contractual que vencía el 31 de enero de 2026. La E.S.E. contrata bajo el derecho privado y su Manual de Contratación (Resolución 002 de 2023 y sus modificaciones), con sujeción a los principios de la función administrativa y de la gestión fiscal.</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 Respuesta a los puntos del requerimiento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tab/>
      </w:r>
      <w:r>
        <w:rPr>
          <w:rFonts w:ascii="Times New Roman" w:eastAsia="Arial" w:hAnsi="Times New Roman" w:cs="Times New Roman"/>
          <w:sz w:val="24"/>
          <w:szCs w:val="24"/>
          <w:lang w:val="es-CO"/>
        </w:rPr>
        <w:t xml:space="preserve">Modalidad de contratación. El contrato se celebró por contratación directa con fundamento en el numeral </w:t>
      </w:r>
      <w:r>
        <w:rPr>
          <w:rFonts w:ascii="Times New Roman" w:eastAsia="Arial" w:hAnsi="Times New Roman" w:cs="Times New Roman"/>
          <w:highlight w:val="yellow"/>
          <w:sz w:val="24"/>
          <w:szCs w:val="24"/>
          <w:lang w:val="es-CO"/>
        </w:rPr>
        <w:t xml:space="preserve">30.2.10 o 29.2.10, según la versión del Manual vigente el 16 de diciembre de 2025: Resolución 002 de 2023, modificada por la Resolución 143 de 2025</w:t>
      </w:r>
      <w:r>
        <w:rPr>
          <w:rFonts w:ascii="Times New Roman" w:eastAsia="Arial" w:hAnsi="Times New Roman" w:cs="Times New Roman"/>
          <w:sz w:val="24"/>
          <w:szCs w:val="24"/>
          <w:lang w:val="es-CO"/>
        </w:rPr>
        <w:t xml:space="preserve"> del Manual de Contratación, que autoriza esa modalidad para </w:t>
      </w:r>
      <w:r>
        <w:rPr>
          <w:rFonts w:ascii="Times New Roman" w:eastAsia="Arial" w:hAnsi="Times New Roman" w:cs="Times New Roman"/>
          <w:highlight w:val="yellow"/>
          <w:sz w:val="24"/>
          <w:szCs w:val="24"/>
          <w:lang w:val="es-CO"/>
        </w:rPr>
        <w:t xml:space="preserve">transcribir literalmente la causal</w:t>
      </w:r>
      <w:r>
        <w:rPr>
          <w:rFonts w:ascii="Times New Roman" w:eastAsia="Arial" w:hAnsi="Times New Roman" w:cs="Times New Roman"/>
          <w:sz w:val="24"/>
          <w:szCs w:val="24"/>
          <w:lang w:val="es-CO"/>
        </w:rPr>
        <w:t xml:space="preserve">, supuesto que se cumple con la Resolución 1947 de 2025, que asignó los recursos con destinación específica </w:t>
      </w:r>
      <w:r>
        <w:rPr>
          <w:rFonts w:ascii="Times New Roman" w:eastAsia="Arial" w:hAnsi="Times New Roman" w:cs="Times New Roman"/>
          <w:highlight w:val="yellow"/>
          <w:sz w:val="24"/>
          <w:szCs w:val="24"/>
          <w:lang w:val="es-CO"/>
        </w:rPr>
        <w:t xml:space="preserve">y plazo de ejecución, citar</w:t>
      </w:r>
      <w:r>
        <w:rPr>
          <w:rFonts w:ascii="Times New Roman" w:eastAsia="Arial" w:hAnsi="Times New Roman" w:cs="Times New Roman"/>
          <w:sz w:val="24"/>
          <w:szCs w:val="24"/>
          <w:lang w:val="es-CO"/>
        </w:rPr>
        <w:t xml:space="preserve">. El Manual, adoptado conforme a los lineamientos de la Resolución 5185 de 2013 del Ministerio de Salud y Protección Social, permite la contratación directa cuando se configura una de sus causales, con independencia de la cuantía. La causal consta en la parte considerativa del contrato </w:t>
      </w:r>
      <w:r>
        <w:rPr>
          <w:rFonts w:ascii="Times New Roman" w:eastAsia="Arial" w:hAnsi="Times New Roman" w:cs="Times New Roman"/>
          <w:highlight w:val="yellow"/>
          <w:sz w:val="24"/>
          <w:szCs w:val="24"/>
          <w:lang w:val="es-CO"/>
        </w:rPr>
        <w:t xml:space="preserve">y en los estudios previos, solo si se confirma</w:t>
      </w:r>
      <w:r>
        <w:rPr>
          <w:rFonts w:ascii="Times New Roman" w:eastAsia="Arial" w:hAnsi="Times New Roman" w:cs="Times New Roman"/>
          <w:sz w:val="24"/>
          <w:szCs w:val="24"/>
          <w:lang w:val="es-CO"/>
        </w:rPr>
        <w:t xml:space="preserve">, y el valor se fijó con base en </w:t>
      </w:r>
      <w:r>
        <w:rPr>
          <w:rFonts w:ascii="Times New Roman" w:eastAsia="Arial" w:hAnsi="Times New Roman" w:cs="Times New Roman"/>
          <w:highlight w:val="yellow"/>
          <w:sz w:val="24"/>
          <w:szCs w:val="24"/>
          <w:lang w:val="es-CO"/>
        </w:rPr>
        <w:t xml:space="preserve">las cotizaciones / el estudio de mercado</w:t>
      </w:r>
      <w:r>
        <w:rPr>
          <w:rFonts w:ascii="Times New Roman" w:eastAsia="Arial" w:hAnsi="Times New Roman" w:cs="Times New Roman"/>
          <w:sz w:val="24"/>
          <w:szCs w:val="24"/>
          <w:lang w:val="es-CO"/>
        </w:rPr>
        <w:t xml:space="preserve"> de los estudios previos. Como acción de mejora, la entidad dejará en cada expediente un acto de justificación expreso de la modalidad.</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tab/>
      </w:r>
      <w:r>
        <w:rPr>
          <w:rFonts w:ascii="Times New Roman" w:eastAsia="Arial" w:hAnsi="Times New Roman" w:cs="Times New Roman"/>
          <w:sz w:val="24"/>
          <w:szCs w:val="24"/>
          <w:lang w:val="es-CO"/>
        </w:rPr>
        <w:t xml:space="preserve">Tradición del vehículo. La E.S.E. es propietaria inscrita de la ambulancia de placa NSX651, según la licencia de tránsito N° 10037693011, expedida el 30 de enero de 2026 a nombre de la E.S.E. Hospital Regional Centro, NIT 807.008.824-</w:t>
      </w:r>
      <w:r>
        <w:rPr>
          <w:rFonts w:ascii="Times New Roman" w:eastAsia="Arial" w:hAnsi="Times New Roman" w:cs="Times New Roman"/>
          <w:highlight w:val="yellow"/>
          <w:sz w:val="24"/>
          <w:szCs w:val="24"/>
          <w:lang w:val="es-CO"/>
        </w:rPr>
        <w:t xml:space="preserve">DV según RUT</w:t>
      </w:r>
      <w:r>
        <w:rPr>
          <w:rFonts w:ascii="Times New Roman" w:eastAsia="Arial" w:hAnsi="Times New Roman" w:cs="Times New Roman"/>
          <w:sz w:val="24"/>
          <w:szCs w:val="24"/>
          <w:lang w:val="es-CO"/>
        </w:rPr>
        <w:t xml:space="preserve">, y la consulta del RUNT generada por la entidad 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que registra el vehículo activo, en servicio oficial, sin limitaciones a la propiedad, prenda ni embargo, con matrícula inicial del 9 de mayo de 2025 y los dos SOAT. La tradición del dominio de los automotores requiere la entrega material y la inscripción del título en el organismo de tránsito (Código de Comercio, artículo 922; Ley 769 de 2002, artículo 47); ambas se cumplieron a favor de la entidad el 16 y el 30 de enero de 2026, dentro del término legal. La entidad solicitó 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al organismo de tránsito de Cáqueza el certificado de tradición del vehículo, que remitirá al recibirlo </w:t>
      </w:r>
      <w:r>
        <w:rPr>
          <w:rFonts w:ascii="Times New Roman" w:eastAsia="Arial" w:hAnsi="Times New Roman" w:cs="Times New Roman"/>
          <w:highlight w:val="yellow"/>
          <w:sz w:val="24"/>
          <w:szCs w:val="24"/>
          <w:lang w:val="es-CO"/>
        </w:rPr>
        <w:t xml:space="preserve">si se obtiene antes de radicar, anexarlo y redactar aquí la cadena de propietarios tal como la registre, indicando quién suscribió el traspaso como tradente</w:t>
      </w:r>
      <w:r>
        <w:rPr>
          <w:rFonts w:ascii="Times New Roman" w:eastAsia="Arial" w:hAnsi="Times New Roman" w:cs="Times New Roman"/>
          <w:sz w:val="24"/>
          <w:szCs w:val="24"/>
          <w:lang w:val="es-CO"/>
        </w:rPr>
        <w:t xml:space="preserve">. A requerimiento de la entidad del 2 de octubre de 2026, la contratista aportó el 6 de octubre de 2026 el contrato de compraventa suscrito con la primera propietaria y la consulta del RUNT, que se remiten en los términos recibidos </w:t>
      </w:r>
      <w:r>
        <w:rPr>
          <w:rFonts w:ascii="Times New Roman" w:eastAsia="Arial" w:hAnsi="Times New Roman" w:cs="Times New Roman"/>
          <w:highlight w:val="yellow"/>
          <w:sz w:val="24"/>
          <w:szCs w:val="24"/>
          <w:lang w:val="es-CO"/>
        </w:rPr>
        <w:t xml:space="preserve">antes de anexar: el contrato está fechado el 29 de abril de 2025 y cita la placa NSX651, asignada el 9 de mayo de 2025, y la respuesta dice que la venta fue posterior a la matrícula; exigir hoy a la contratista aclaración escrita de la fecha o declaración de la vendedora</w:t>
      </w:r>
      <w:r>
        <w:rPr>
          <w:rFonts w:ascii="Times New Roman" w:eastAsia="Arial" w:hAnsi="Times New Roman" w:cs="Times New Roman"/>
          <w:sz w:val="24"/>
          <w:szCs w:val="24"/>
          <w:lang w:val="es-CO"/>
        </w:rPr>
        <w:t xml:space="preserve">. En todo caso, la contratista, como vendedora, está obligada al saneamiento por evicción (Código Civil, artículos 1893 y siguientes, aplicables al contrato por remisión del artículo 822 del Código de Comercio).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tab/>
      </w:r>
      <w:r>
        <w:rPr>
          <w:rFonts w:ascii="Times New Roman" w:eastAsia="Arial" w:hAnsi="Times New Roman" w:cs="Times New Roman"/>
          <w:sz w:val="24"/>
          <w:szCs w:val="24"/>
          <w:lang w:val="es-CO"/>
        </w:rPr>
        <w:t xml:space="preserve">Fecha de matrícula anterior al contrato. En su requerimiento del 2 de octubre de 2026 la entidad planteó a la contratista la hipótesis de un error de digitación en la licencia. Según el RUNT, la fecha "09/05/2025" no es un error: es la fecha de la matrícula inicial del automotor, que se conserva en los traspasos; según la contratista, esa matrícula la realizó la primera propietaria. Lo que varía es el propietario y la fecha de expedición de la licencia, 30 de enero de 2026. La referencia de aquel requerimiento a la "existencia del chasis" fue una imprecisión, pues el chasis se facturó el 23 de enero de 2025. Quedan así descartadas las hipótesis de error registral y de vacío de aseguramiento (literal d).</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tab/>
      </w:r>
      <w:r>
        <w:rPr>
          <w:rFonts w:ascii="Times New Roman" w:eastAsia="Arial" w:hAnsi="Times New Roman" w:cs="Times New Roman"/>
          <w:sz w:val="24"/>
          <w:szCs w:val="24"/>
          <w:lang w:val="es-CO"/>
        </w:rPr>
        <w:t xml:space="preserve">SOAT. El vehículo contó con seguro obligatorio sin solución de continuidad (Ley 769 de 2002, artículo 42): el SOAT N° 41686458 de Seguros Generales Suramericana S.A., expedido el 25 de abril de 2025 y vigente del 27 de abril de 2025 al 26 de abril de 2026, lo amparaba en la entrega (16 de enero de 2026) y en el traspaso (30 de enero de 2026), y el SOAT N° 43089245, expedido el 15 de abril de 2026, rige del 27 de abril de 2026 al 26 de abril de 2027. Así lo acredita la consulta del RUNT generada por la entidad, pues la copia del primer SOAT no reposaba en el expediente. </w:t>
      </w:r>
      <w:r>
        <w:rPr>
          <w:rFonts w:ascii="Times New Roman" w:eastAsia="Arial" w:hAnsi="Times New Roman" w:cs="Times New Roman"/>
          <w:highlight w:val="yellow"/>
          <w:sz w:val="24"/>
          <w:szCs w:val="24"/>
          <w:lang w:val="es-CO"/>
        </w:rPr>
        <w:t xml:space="preserve">Verificar quién tomó y pagó el SOAT 43089245. Si lo pagó la contratista: "El SOAT N° 43089245 fue adquirido por la contratista en cumplimiento de la cláusula décima primera, según el soporte que se anexa." Si lo pagó la E.S.E.: no afirmar cumplimiento de la cláusula; decir que la obligación de la contratista de entregar el vehículo asegurado se cumplió con el SOAT vigente a la entrega y que la renovación anual corresponde al propietario, y evaluar si se exige el valor a la contratista.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tab/>
      </w:r>
      <w:r>
        <w:rPr>
          <w:rFonts w:ascii="Times New Roman" w:eastAsia="Arial" w:hAnsi="Times New Roman" w:cs="Times New Roman"/>
          <w:sz w:val="24"/>
          <w:szCs w:val="24"/>
          <w:lang w:val="es-CO"/>
        </w:rPr>
        <w:t xml:space="preserve">Lámpara desmontable. El ítem "lámpara desmontable que permita su utilización a distancia del vehículo", marcado "no cumple" en la lista de chequeo del 16 de enero de 2026, fue atendido el 22 de enero de 2026, dentro del plazo contractual, con la entrega de una lámpara portátil con extensión, según el formato PL-FO-13 suscrito por el Líder de Almacén con registro fotográfico, que se anexa en su estado original. Como ese formato no registra el concepto de recibo ni la firma de la supervisora, se anexa la certificación de la supervisora del contrato del </w:t>
      </w:r>
      <w:r>
        <w:rPr>
          <w:rFonts w:ascii="Times New Roman" w:eastAsia="Arial" w:hAnsi="Times New Roman" w:cs="Times New Roman"/>
          <w:highlight w:val="yellow"/>
          <w:sz w:val="24"/>
          <w:szCs w:val="24"/>
          <w:lang w:val="es-CO"/>
        </w:rPr>
        <w:t xml:space="preserve">fecha de 2026</w:t>
      </w:r>
      <w:r>
        <w:rPr>
          <w:rFonts w:ascii="Times New Roman" w:eastAsia="Arial" w:hAnsi="Times New Roman" w:cs="Times New Roman"/>
          <w:sz w:val="24"/>
          <w:szCs w:val="24"/>
          <w:lang w:val="es-CO"/>
        </w:rPr>
        <w:t xml:space="preserve">, en la que consta que verificó el elemento recibido y que cumple la función de iluminación portátil a distancia del vehículo </w:t>
      </w:r>
      <w:r>
        <w:rPr>
          <w:rFonts w:ascii="Times New Roman" w:eastAsia="Arial" w:hAnsi="Times New Roman" w:cs="Times New Roman"/>
          <w:highlight w:val="yellow"/>
          <w:sz w:val="24"/>
          <w:szCs w:val="24"/>
          <w:lang w:val="es-CO"/>
        </w:rPr>
        <w:t xml:space="preserve">solo si la supervisora lo verifica y lo certifica; si el elemento no es idóneo, decir: "La entidad requirió a la contratista el (fecha) la reposición del elemento por uno que cumpla el estándar". No marcar casillas ni añadir firmas al formato del 22 de enero de 2026</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tab/>
      </w:r>
      <w:r>
        <w:rPr>
          <w:rFonts w:ascii="Times New Roman" w:eastAsia="Arial" w:hAnsi="Times New Roman" w:cs="Times New Roman"/>
          <w:sz w:val="24"/>
          <w:szCs w:val="24"/>
          <w:lang w:val="es-CO"/>
        </w:rPr>
        <w:t xml:space="preserve">Lactato de Ringer. En el mismo formato del 22 de enero de 2026 consta la entrega de tres bolsas de lactato de Ringer </w:t>
      </w:r>
      <w:r>
        <w:rPr>
          <w:rFonts w:ascii="Times New Roman" w:eastAsia="Arial" w:hAnsi="Times New Roman" w:cs="Times New Roman"/>
          <w:highlight w:val="yellow"/>
          <w:sz w:val="24"/>
          <w:szCs w:val="24"/>
          <w:lang w:val="es-CO"/>
        </w:rPr>
        <w:t xml:space="preserve">lote y fecha de vencimiento, según el registro fotográfico o el kardex</w:t>
      </w:r>
      <w:r>
        <w:rPr>
          <w:rFonts w:ascii="Times New Roman" w:eastAsia="Arial" w:hAnsi="Times New Roman" w:cs="Times New Roman"/>
          <w:sz w:val="24"/>
          <w:szCs w:val="24"/>
          <w:lang w:val="es-CO"/>
        </w:rPr>
        <w:t xml:space="preserve">, en reemplazo de la unidad de la dotación inicial que vencía en febrero de 2026, con lo cual se atendió la observación de la lista de chequeo. </w:t>
      </w:r>
      <w:r>
        <w:rPr>
          <w:rFonts w:ascii="Times New Roman" w:eastAsia="Arial" w:hAnsi="Times New Roman" w:cs="Times New Roman"/>
          <w:highlight w:val="yellow"/>
          <w:sz w:val="24"/>
          <w:szCs w:val="24"/>
          <w:lang w:val="es-CO"/>
        </w:rPr>
        <w:t xml:space="preserve">Mencionar el control de inventario del servicio solo si se anexa el kardex o la certificación de la IPS San Cayetano.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tab/>
      </w:r>
      <w:r>
        <w:rPr>
          <w:rFonts w:ascii="Times New Roman" w:eastAsia="Arial" w:hAnsi="Times New Roman" w:cs="Times New Roman"/>
          <w:sz w:val="24"/>
          <w:szCs w:val="24"/>
          <w:lang w:val="es-CO"/>
        </w:rPr>
        <w:t xml:space="preserve">Acta de entrega y recibo a satisfacción. El registro del activo consta en el comprobante FCAF-55 del 26 de diciembre de 2025; la entrega física y la verificación técnica, en la lista de chequeo PL-FO-12 del 16 de enero de 2026, suscrita por la Coordinadora de la IPS San Cayetano y el Líder de Almacén, que confrontó la totalidad de las especificaciones técnicas, de carrocería, dotación y equipo de carretera de la Resolución 3100 de 2019; los elementos pendientes, en el formato PL-FO-13 del 22 de enero de 2026; y la matrícula, en la licencia de tránsito del 30 de enero de 2026. La entidad reconoce que el acta de recibo a satisfacción prevista en la cláusula sexta no se levantó en su momento como documento único. Por ello el </w:t>
      </w:r>
      <w:r>
        <w:rPr>
          <w:rFonts w:ascii="Times New Roman" w:eastAsia="Arial" w:hAnsi="Times New Roman" w:cs="Times New Roman"/>
          <w:highlight w:val="yellow"/>
          <w:sz w:val="24"/>
          <w:szCs w:val="24"/>
          <w:lang w:val="es-CO"/>
        </w:rPr>
        <w:t xml:space="preserve">fecha de octubre de 2026</w:t>
      </w:r>
      <w:r>
        <w:rPr>
          <w:rFonts w:ascii="Times New Roman" w:eastAsia="Arial" w:hAnsi="Times New Roman" w:cs="Times New Roman"/>
          <w:sz w:val="24"/>
          <w:szCs w:val="24"/>
          <w:lang w:val="es-CO"/>
        </w:rPr>
        <w:t xml:space="preserve"> la supervisora, el Líder de Almacén </w:t>
      </w:r>
      <w:r>
        <w:rPr>
          <w:rFonts w:ascii="Times New Roman" w:eastAsia="Arial" w:hAnsi="Times New Roman" w:cs="Times New Roman"/>
          <w:highlight w:val="yellow"/>
          <w:sz w:val="24"/>
          <w:szCs w:val="24"/>
          <w:lang w:val="es-CO"/>
        </w:rPr>
        <w:t xml:space="preserve">y la contratista</w:t>
      </w:r>
      <w:r>
        <w:rPr>
          <w:rFonts w:ascii="Times New Roman" w:eastAsia="Arial" w:hAnsi="Times New Roman" w:cs="Times New Roman"/>
          <w:sz w:val="24"/>
          <w:szCs w:val="24"/>
          <w:lang w:val="es-CO"/>
        </w:rPr>
        <w:t xml:space="preserve"> suscribieron el acta de recibo a satisfacción </w:t>
      </w:r>
      <w:r>
        <w:rPr>
          <w:rFonts w:ascii="Times New Roman" w:eastAsia="Arial" w:hAnsi="Times New Roman" w:cs="Times New Roman"/>
          <w:highlight w:val="yellow"/>
          <w:sz w:val="24"/>
          <w:szCs w:val="24"/>
          <w:lang w:val="es-CO"/>
        </w:rPr>
        <w:t xml:space="preserve">y de liquidación bilateral, si el contrato previó liquidación; si no la previó, decir: "El contrato, de ejecución instantánea, no previó liquidación"</w:t>
      </w:r>
      <w:r>
        <w:rPr>
          <w:rFonts w:ascii="Times New Roman" w:eastAsia="Arial" w:hAnsi="Times New Roman" w:cs="Times New Roman"/>
          <w:sz w:val="24"/>
          <w:szCs w:val="24"/>
          <w:lang w:val="es-CO"/>
        </w:rPr>
        <w:t xml:space="preserve">, con fecha de suscripción actual, que se anexa: certifica los hechos anteriores con remisión a esos documentos, identifica el bien (placa, VIN, motor y kilometraje), su ubicación en servicio en el municipio de San Cayetano, declara cumplido el objeto el 30 de enero de 2026 y deja constancia de que no quedan saldos ni obligaciones pendientes </w:t>
      </w:r>
      <w:r>
        <w:rPr>
          <w:rFonts w:ascii="Times New Roman" w:eastAsia="Arial" w:hAnsi="Times New Roman" w:cs="Times New Roman"/>
          <w:highlight w:val="yellow"/>
          <w:sz w:val="24"/>
          <w:szCs w:val="24"/>
          <w:lang w:val="es-CO"/>
        </w:rPr>
        <w:t xml:space="preserve">suscribirla con la fecha actual, nunca con fecha de enero de 2026</w:t>
      </w:r>
      <w:r>
        <w:rPr>
          <w:rFonts w:ascii="Times New Roman" w:eastAsia="Arial" w:hAnsi="Times New Roman" w:cs="Times New Roman"/>
          <w:sz w:val="24"/>
          <w:szCs w:val="24"/>
          <w:lang w:val="es-CO"/>
        </w:rPr>
        <w:t xml:space="preserve">. Como acción de mejora, la entidad adoptó desde enero de 2026 el formato PL-FO-13 para el recibo de bienes.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tab/>
      </w:r>
      <w:r>
        <w:rPr>
          <w:rFonts w:ascii="Times New Roman" w:eastAsia="Arial" w:hAnsi="Times New Roman" w:cs="Times New Roman"/>
          <w:sz w:val="24"/>
          <w:szCs w:val="24"/>
          <w:lang w:val="es-CO"/>
        </w:rPr>
        <w:t xml:space="preserve">Año-modelo del vehículo. </w:t>
      </w:r>
      <w:r>
        <w:rPr>
          <w:rFonts w:ascii="Times New Roman" w:eastAsia="Arial" w:hAnsi="Times New Roman" w:cs="Times New Roman"/>
          <w:highlight w:val="yellow"/>
          <w:sz w:val="24"/>
          <w:szCs w:val="24"/>
          <w:lang w:val="es-CO"/>
        </w:rPr>
        <w:t xml:space="preserve">DECISIÓN DEL ABOGADO. Confirmar en la minuta, los estudios previos y la factura FEI2168 si dicen "modelo 2026". Si ninguno exige año-modelo ni vehículo sin matricular, reemplazar este literal por: "Ni los estudios previos ni el contrato exigieron un año-modelo determinado ni un vehículo sin matrícula previa; la especificación fue el cumplimiento de la Resolución 3100 de 2019 para ambulancia TAB, verificado el 16 de enero de 2026." Si el contrato o la factura dicen modelo 2026, se recomienda incluir el texto siguiente: la Contraloría ya tiene la factura (2026), la lista de chequeo y la licencia (2025), y la explicación del literal c) lo deja a la vista; callarlo se leería como evasiva y trasladaría el problema a la supervisora que certificó el cumplimiento.</w:t>
      </w:r>
      <w:r>
        <w:rPr>
          <w:rFonts w:ascii="Times New Roman" w:eastAsia="Arial" w:hAnsi="Times New Roman" w:cs="Times New Roman"/>
          <w:sz w:val="24"/>
          <w:szCs w:val="24"/>
          <w:lang w:val="es-CO"/>
        </w:rPr>
        <w:t xml:space="preserve"> El contrato y la factura FEI2168 describen el automotor como modelo 2026 </w:t>
      </w:r>
      <w:r>
        <w:rPr>
          <w:rFonts w:ascii="Times New Roman" w:eastAsia="Arial" w:hAnsi="Times New Roman" w:cs="Times New Roman"/>
          <w:highlight w:val="yellow"/>
          <w:sz w:val="24"/>
          <w:szCs w:val="24"/>
          <w:lang w:val="es-CO"/>
        </w:rPr>
        <w:t xml:space="preserve">confirmar en ambos</w:t>
      </w:r>
      <w:r>
        <w:rPr>
          <w:rFonts w:ascii="Times New Roman" w:eastAsia="Arial" w:hAnsi="Times New Roman" w:cs="Times New Roman"/>
          <w:sz w:val="24"/>
          <w:szCs w:val="24"/>
          <w:lang w:val="es-CO"/>
        </w:rPr>
        <w:t xml:space="preserve">, mientras la licencia de tránsito, el RUNT y la propia lista de chequeo del 16 de enero de 2026 lo registran como modelo 2025, con matrícula inicial del 9 de mayo de 2025. La entidad verificó que el vehículo entregado corresponde al chasis y al motor facturados (VIN LVAV2KAB2SU314330, motor R088768) y que cumple la totalidad de las especificaciones técnicas de la Resolución 3100 de 2019 según la lista de chequeo del 16 de enero de 2026 </w:t>
      </w:r>
      <w:r>
        <w:rPr>
          <w:rFonts w:ascii="Times New Roman" w:eastAsia="Arial" w:hAnsi="Times New Roman" w:cs="Times New Roman"/>
          <w:highlight w:val="yellow"/>
          <w:sz w:val="24"/>
          <w:szCs w:val="24"/>
          <w:lang w:val="es-CO"/>
        </w:rPr>
        <w:t xml:space="preserve">y que registra un kilometraje de ___</w:t>
      </w:r>
      <w:r>
        <w:rPr>
          <w:rFonts w:ascii="Times New Roman" w:eastAsia="Arial" w:hAnsi="Times New Roman" w:cs="Times New Roman"/>
          <w:sz w:val="24"/>
          <w:szCs w:val="24"/>
          <w:lang w:val="es-CO"/>
        </w:rPr>
        <w:t xml:space="preserve">. La entidad </w:t>
      </w:r>
      <w:r>
        <w:rPr>
          <w:rFonts w:ascii="Times New Roman" w:eastAsia="Arial" w:hAnsi="Times New Roman" w:cs="Times New Roman"/>
          <w:highlight w:val="yellow"/>
          <w:sz w:val="24"/>
          <w:szCs w:val="24"/>
          <w:lang w:val="es-CO"/>
        </w:rPr>
        <w:t xml:space="preserve">requirió el (fecha) / requerirá</w:t>
      </w:r>
      <w:r>
        <w:rPr>
          <w:rFonts w:ascii="Times New Roman" w:eastAsia="Arial" w:hAnsi="Times New Roman" w:cs="Times New Roman"/>
          <w:sz w:val="24"/>
          <w:szCs w:val="24"/>
          <w:lang w:val="es-CO"/>
        </w:rPr>
        <w:t xml:space="preserve"> a la contratista la ficha técnica del fabricante con el año-modelo y la nota de ajuste a la factura electrónica FEI2168, y </w:t>
      </w:r>
      <w:r>
        <w:rPr>
          <w:rFonts w:ascii="Times New Roman" w:eastAsia="Arial" w:hAnsi="Times New Roman" w:cs="Times New Roman"/>
          <w:highlight w:val="yellow"/>
          <w:sz w:val="24"/>
          <w:szCs w:val="24"/>
          <w:lang w:val="es-CO"/>
        </w:rPr>
        <w:t xml:space="preserve">obtuvo / obtendrá</w:t>
      </w:r>
      <w:r>
        <w:rPr>
          <w:rFonts w:ascii="Times New Roman" w:eastAsia="Arial" w:hAnsi="Times New Roman" w:cs="Times New Roman"/>
          <w:sz w:val="24"/>
          <w:szCs w:val="24"/>
          <w:lang w:val="es-CO"/>
        </w:rPr>
        <w:t xml:space="preserve"> la comparación del precio de mercado de una ambulancia TAB equivalente, modelos 2025 y 2026, a diciembre de 2025, para establecer si existe diferencia de valor y, de haberla, exigir su reconocimiento a la contratista; el resultado se remitirá al equipo auditor. </w:t>
      </w:r>
      <w:r>
        <w:rPr>
          <w:rFonts w:ascii="Times New Roman" w:eastAsia="Arial" w:hAnsi="Times New Roman" w:cs="Times New Roman"/>
          <w:highlight w:val="yellow"/>
          <w:sz w:val="24"/>
          <w:szCs w:val="24"/>
          <w:lang w:val="es-CO"/>
        </w:rPr>
        <w:t xml:space="preserve">Si la Resolución 1947 de 2025 exigía vehículo nuevo o condicionó los recursos, revisarlo antes de radicar: existe riesgo de reintegro que debe manejarse con el Ministerio.</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 Anexos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w:t>
        <w:tab/>
      </w:r>
      <w:r>
        <w:rPr>
          <w:rFonts w:ascii="Times New Roman" w:eastAsia="Arial" w:hAnsi="Times New Roman" w:cs="Times New Roman"/>
          <w:sz w:val="24"/>
          <w:szCs w:val="24"/>
          <w:lang w:val="es-CO"/>
        </w:rPr>
        <w:t xml:space="preserve">Requerimiento de la E.S.E. a la contratista del 2 de octubre de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w:t>
        <w:tab/>
      </w:r>
      <w:r>
        <w:rPr>
          <w:rFonts w:ascii="Times New Roman" w:eastAsia="Arial" w:hAnsi="Times New Roman" w:cs="Times New Roman"/>
          <w:sz w:val="24"/>
          <w:szCs w:val="24"/>
          <w:lang w:val="es-CO"/>
        </w:rPr>
        <w:t xml:space="preserve">Respuesta de Import Medical Supplies S.A.S. del 6 de octubre de 2026, con el contrato de compraventa del vehículo y la consulta del RUNT, en los términos recibidos </w:t>
      </w:r>
      <w:r>
        <w:rPr>
          <w:rFonts w:ascii="Times New Roman" w:eastAsia="Arial" w:hAnsi="Times New Roman" w:cs="Times New Roman"/>
          <w:highlight w:val="yellow"/>
          <w:sz w:val="24"/>
          <w:szCs w:val="24"/>
          <w:lang w:val="es-CO"/>
        </w:rPr>
        <w:t xml:space="preserve">con la aclaración de fecha que se exija hoy</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w:t>
        <w:tab/>
      </w:r>
      <w:r>
        <w:rPr>
          <w:rFonts w:ascii="Times New Roman" w:eastAsia="Arial" w:hAnsi="Times New Roman" w:cs="Times New Roman"/>
          <w:sz w:val="24"/>
          <w:szCs w:val="24"/>
          <w:lang w:val="es-CO"/>
        </w:rPr>
        <w:t xml:space="preserve">Consulta del RUNT de la placa NSX651 generada por la E.S.E. 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con datos del vehículo, limitaciones y SOAT </w:t>
      </w:r>
      <w:r>
        <w:rPr>
          <w:rFonts w:ascii="Times New Roman" w:eastAsia="Arial" w:hAnsi="Times New Roman" w:cs="Times New Roman"/>
          <w:highlight w:val="yellow"/>
          <w:sz w:val="24"/>
          <w:szCs w:val="24"/>
          <w:lang w:val="es-CO"/>
        </w:rPr>
        <w:t xml:space="preserve">por generar hoy en www.runt.gov.co</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w:t>
        <w:tab/>
      </w:r>
      <w:r>
        <w:rPr>
          <w:rFonts w:ascii="Times New Roman" w:eastAsia="Arial" w:hAnsi="Times New Roman" w:cs="Times New Roman"/>
          <w:sz w:val="24"/>
          <w:szCs w:val="24"/>
          <w:lang w:val="es-CO"/>
        </w:rPr>
        <w:t xml:space="preserve">Licencia de tránsito N° 10037693011 del 30 de enero de 2026, a nombre de la E.S.E. (se anexa de nuevo para facilidad de consulta).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w:t>
        <w:tab/>
      </w:r>
      <w:r>
        <w:rPr>
          <w:rFonts w:ascii="Times New Roman" w:eastAsia="Arial" w:hAnsi="Times New Roman" w:cs="Times New Roman"/>
          <w:sz w:val="24"/>
          <w:szCs w:val="24"/>
          <w:lang w:val="es-CO"/>
        </w:rPr>
        <w:t xml:space="preserve">Formato de recibido PL-FO-13 del 22 de enero de 2026, en su estado original, y certificación de la supervisora del contrato del </w:t>
      </w:r>
      <w:r>
        <w:rPr>
          <w:rFonts w:ascii="Times New Roman" w:eastAsia="Arial" w:hAnsi="Times New Roman" w:cs="Times New Roman"/>
          <w:highlight w:val="yellow"/>
          <w:sz w:val="24"/>
          <w:szCs w:val="24"/>
          <w:lang w:val="es-CO"/>
        </w:rPr>
        <w:t xml:space="preserve">fecha de 2026</w:t>
      </w:r>
      <w:r>
        <w:rPr>
          <w:rFonts w:ascii="Times New Roman" w:eastAsia="Arial" w:hAnsi="Times New Roman" w:cs="Times New Roman"/>
          <w:sz w:val="24"/>
          <w:szCs w:val="24"/>
          <w:lang w:val="es-CO"/>
        </w:rPr>
        <w:t xml:space="preserve"> </w:t>
      </w:r>
      <w:r>
        <w:rPr>
          <w:rFonts w:ascii="Times New Roman" w:eastAsia="Arial" w:hAnsi="Times New Roman" w:cs="Times New Roman"/>
          <w:highlight w:val="yellow"/>
          <w:sz w:val="24"/>
          <w:szCs w:val="24"/>
          <w:lang w:val="es-CO"/>
        </w:rPr>
        <w:t xml:space="preserve">por expedir</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6.</w:t>
        <w:tab/>
      </w:r>
      <w:r>
        <w:rPr>
          <w:rFonts w:ascii="Times New Roman" w:eastAsia="Arial" w:hAnsi="Times New Roman" w:cs="Times New Roman"/>
          <w:sz w:val="24"/>
          <w:szCs w:val="24"/>
          <w:lang w:val="es-CO"/>
        </w:rPr>
        <w:t xml:space="preserve">Acta de recibo a satisfacción </w:t>
      </w:r>
      <w:r>
        <w:rPr>
          <w:rFonts w:ascii="Times New Roman" w:eastAsia="Arial" w:hAnsi="Times New Roman" w:cs="Times New Roman"/>
          <w:highlight w:val="yellow"/>
          <w:sz w:val="24"/>
          <w:szCs w:val="24"/>
          <w:lang w:val="es-CO"/>
        </w:rPr>
        <w:t xml:space="preserve">y de liquidación bilateral</w:t>
      </w:r>
      <w:r>
        <w:rPr>
          <w:rFonts w:ascii="Times New Roman" w:eastAsia="Arial" w:hAnsi="Times New Roman" w:cs="Times New Roman"/>
          <w:sz w:val="24"/>
          <w:szCs w:val="24"/>
          <w:lang w:val="es-CO"/>
        </w:rPr>
        <w:t xml:space="preserve"> del Contrato N° 1056 de 2025 del </w:t>
      </w:r>
      <w:r>
        <w:rPr>
          <w:rFonts w:ascii="Times New Roman" w:eastAsia="Arial" w:hAnsi="Times New Roman" w:cs="Times New Roman"/>
          <w:highlight w:val="yellow"/>
          <w:sz w:val="24"/>
          <w:szCs w:val="24"/>
          <w:lang w:val="es-CO"/>
        </w:rPr>
        <w:t xml:space="preserve">fecha de octubre de 2026</w:t>
      </w:r>
      <w:r>
        <w:rPr>
          <w:rFonts w:ascii="Times New Roman" w:eastAsia="Arial" w:hAnsi="Times New Roman" w:cs="Times New Roman"/>
          <w:sz w:val="24"/>
          <w:szCs w:val="24"/>
          <w:lang w:val="es-CO"/>
        </w:rPr>
        <w:t xml:space="preserve"> </w:t>
      </w:r>
      <w:r>
        <w:rPr>
          <w:rFonts w:ascii="Times New Roman" w:eastAsia="Arial" w:hAnsi="Times New Roman" w:cs="Times New Roman"/>
          <w:highlight w:val="yellow"/>
          <w:sz w:val="24"/>
          <w:szCs w:val="24"/>
          <w:lang w:val="es-CO"/>
        </w:rPr>
        <w:t xml:space="preserve">por suscribir</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7.</w:t>
        <w:tab/>
      </w:r>
      <w:r>
        <w:rPr>
          <w:rFonts w:ascii="Times New Roman" w:eastAsia="Arial" w:hAnsi="Times New Roman" w:cs="Times New Roman"/>
          <w:sz w:val="24"/>
          <w:szCs w:val="24"/>
          <w:lang w:val="es-CO"/>
        </w:rPr>
        <w:t xml:space="preserve">Apartes del contrato </w:t>
      </w:r>
      <w:r>
        <w:rPr>
          <w:rFonts w:ascii="Times New Roman" w:eastAsia="Arial" w:hAnsi="Times New Roman" w:cs="Times New Roman"/>
          <w:highlight w:val="yellow"/>
          <w:sz w:val="24"/>
          <w:szCs w:val="24"/>
          <w:lang w:val="es-CO"/>
        </w:rPr>
        <w:t xml:space="preserve">y de los estudios previos</w:t>
      </w:r>
      <w:r>
        <w:rPr>
          <w:rFonts w:ascii="Times New Roman" w:eastAsia="Arial" w:hAnsi="Times New Roman" w:cs="Times New Roman"/>
          <w:sz w:val="24"/>
          <w:szCs w:val="24"/>
          <w:lang w:val="es-CO"/>
        </w:rPr>
        <w:t xml:space="preserve"> donde consta la causal de contratación directa.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8.</w:t>
        <w:tab/>
      </w:r>
      <w:r>
        <w:rPr>
          <w:rFonts w:ascii="Times New Roman" w:eastAsia="Arial" w:hAnsi="Times New Roman" w:cs="Times New Roman"/>
          <w:highlight w:val="yellow"/>
          <w:sz w:val="24"/>
          <w:szCs w:val="24"/>
          <w:lang w:val="es-CO"/>
        </w:rPr>
        <w:t xml:space="preserve">Solo si no se enviaron el 1 de octubre: lista de chequeo PL-FO-12 del 16 de enero de 2026; póliza N° 53-44-101042119; comprobantes de egreso CE-10213 y CE-10217; informes de actividades y de supervisión del periodo 17 al 31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9.</w:t>
        <w:tab/>
      </w:r>
      <w:r>
        <w:rPr>
          <w:rFonts w:ascii="Times New Roman" w:eastAsia="Arial" w:hAnsi="Times New Roman" w:cs="Times New Roman"/>
          <w:highlight w:val="yellow"/>
          <w:sz w:val="24"/>
          <w:szCs w:val="24"/>
          <w:lang w:val="es-CO"/>
        </w:rPr>
        <w:t xml:space="preserve">Solo si se incluye el literal h): requerimiento a la contratista sobre la factura y el año-modelo, y comparación de precios de mercado.</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 Consideración final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bien adquirido existe, está inscrito a nombre de la E.S.E. sin limitaciones, cumple las especificaciones técnicas verificadas en la lista de chequeo del 16 de enero de 2026 </w:t>
      </w:r>
      <w:r>
        <w:rPr>
          <w:rFonts w:ascii="Times New Roman" w:eastAsia="Arial" w:hAnsi="Times New Roman" w:cs="Times New Roman"/>
          <w:highlight w:val="yellow"/>
          <w:sz w:val="24"/>
          <w:szCs w:val="24"/>
          <w:lang w:val="es-CO"/>
        </w:rPr>
        <w:t xml:space="preserve">con la salvedad del literal e), si la supervisora no certifica la lámpara</w:t>
      </w:r>
      <w:r>
        <w:rPr>
          <w:rFonts w:ascii="Times New Roman" w:eastAsia="Arial" w:hAnsi="Times New Roman" w:cs="Times New Roman"/>
          <w:sz w:val="24"/>
          <w:szCs w:val="24"/>
          <w:lang w:val="es-CO"/>
        </w:rPr>
        <w:t xml:space="preserve">, se pagó por el valor contratado, fijado con </w:t>
      </w:r>
      <w:r>
        <w:rPr>
          <w:rFonts w:ascii="Times New Roman" w:eastAsia="Arial" w:hAnsi="Times New Roman" w:cs="Times New Roman"/>
          <w:highlight w:val="yellow"/>
          <w:sz w:val="24"/>
          <w:szCs w:val="24"/>
          <w:lang w:val="es-CO"/>
        </w:rPr>
        <w:t xml:space="preserve">el estudio de mercado</w:t>
      </w:r>
      <w:r>
        <w:rPr>
          <w:rFonts w:ascii="Times New Roman" w:eastAsia="Arial" w:hAnsi="Times New Roman" w:cs="Times New Roman"/>
          <w:sz w:val="24"/>
          <w:szCs w:val="24"/>
          <w:lang w:val="es-CO"/>
        </w:rPr>
        <w:t xml:space="preserve"> de los estudios previos, y se encuentra en servicio en el municipio de San Cayetano </w:t>
      </w:r>
      <w:r>
        <w:rPr>
          <w:rFonts w:ascii="Times New Roman" w:eastAsia="Arial" w:hAnsi="Times New Roman" w:cs="Times New Roman"/>
          <w:highlight w:val="yellow"/>
          <w:sz w:val="24"/>
          <w:szCs w:val="24"/>
          <w:lang w:val="es-CO"/>
        </w:rPr>
        <w:t xml:space="preserve">confirmar la habilitación de la ambulancia en el REPS antes de afirmarlo</w:t>
      </w:r>
      <w:r>
        <w:rPr>
          <w:rFonts w:ascii="Times New Roman" w:eastAsia="Arial" w:hAnsi="Times New Roman" w:cs="Times New Roman"/>
          <w:sz w:val="24"/>
          <w:szCs w:val="24"/>
          <w:lang w:val="es-CO"/>
        </w:rPr>
        <w:t xml:space="preserve">. No se configura, por tanto, daño patrimonial (Ley 610 de 2000, artículo 6, modificado por el artículo 126 del Decreto Ley 403 de 2020) ni concurren los elementos de la responsabilidad fiscal (artículo 5, modificado por el artículo 125 del mismo decreto). La ordenadora del gasto actuó con base en las certificaciones de la supervisora, del almacén y del área de presupuesto, y las observaciones recaen sobre aspectos formales del expediente que la propia entidad identificó y corrigió durante el proceso auditor y antes del informe preliminar, lo que solicita se valore como beneficio del control fiscal.</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 Solicitud</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 entidad solicita respetuosamente tener por atendidos los puntos del requerimiento de alcance sobre el Contrato N° 1056 de 2025 o, en su defecto, calificarlos como de carácter administrativo para su inclusión en el plan de mejoramiento. Quedamos atentos a cualquier aclaración adicional.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Atentamente,</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CLAUDIA BELÉN JULIO SEPÚLVEDA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Gerente, E.S.E. Hospital Regional Centro</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los relacionados en el numeral 3.</w:t>
      </w:r>
    </w:p>
    <w:p>
      <w:pPr>
        <w:spacing w:after="0"/>
      </w:pPr>
    </w:p>
    <w:tbl>
      <w:tblPr>
        <w:tblStyle w:val="Tablaconcuadrcula"/>
        <w:tblW w:w="5000" w:type="pct"/>
        <w:tblLook w:val="04A0" w:firstRow="1" w:lastRow="0" w:firstColumn="1" w:lastColumn="0" w:noHBand="0" w:noVBand="1"/>
      </w:tblPr>
      <w:tblGrid>
        <w:gridCol w:w="1036"/>
        <w:gridCol w:w="4854"/>
        <w:gridCol w:w="2938"/>
      </w:tblGrid>
      <w:tr w:rsidR="00CD0C5B" w:rsidRPr="00BB4C1B" w14:paraId="1055D3B5" w14:textId="77777777" w:rsidTr="00BB4C1B">
        <w:trPr>
          <w:trHeight w:val="283"/>
        </w:trPr>
        <w:tc>
          <w:tcPr>
            <w:tcW w:w="587" w:type="pct"/>
            <w:vAlign w:val="center"/>
          </w:tcPr>
          <w:p w14:paraId="18C3E441" w14:textId="77777777" w:rsidR="00CD0C5B" w:rsidRPr="00BB4C1B" w:rsidRDefault="00CD0C5B" w:rsidP="00015045">
            <w:pPr>
              <w:spacing w:after="0"/>
              <w:jc w:val="center"/>
              <w:rPr>
                <w:rFonts w:ascii="Times New Roman" w:hAnsi="Times New Roman" w:cs="Times New Roman"/>
                <w:kern w:val="2"/>
              </w:rPr>
            </w:pPr>
            <w:r>
              <w:rPr>
                <w:rFonts w:ascii="Times New Roman" w:hAnsi="Times New Roman" w:cs="Times New Roman"/>
                <w:kern w:val="2"/>
              </w:rPr>
              <w:t>Revisó:</w:t>
            </w:r>
          </w:p>
        </w:tc>
        <w:tc>
          <w:tcPr>
            <w:tcW w:w="2749" w:type="pct"/>
            <w:vAlign w:val="center"/>
          </w:tcPr>
          <w:p w14:paraId="2E184E28" w14:textId="73E84B4E" w:rsidR="00CD0C5B" w:rsidRPr="00BB4C1B" w:rsidRDefault="00BB4C1B" w:rsidP="00015045">
            <w:pPr>
              <w:spacing w:after="0"/>
              <w:jc w:val="left"/>
              <w:rPr>
                <w:rFonts w:ascii="Times New Roman" w:hAnsi="Times New Roman" w:cs="Times New Roman"/>
                <w:kern w:val="2"/>
              </w:rPr>
            </w:pPr>
            <w:r>
              <w:rPr>
                <w:rFonts w:ascii="Times New Roman" w:hAnsi="Times New Roman" w:cs="Times New Roman"/>
                <w:kern w:val="2"/>
              </w:rPr>
              <w:t>Natalia Angarita, Ramos Mejía &amp; Abogados S.A.S</w:t>
            </w:r>
          </w:p>
        </w:tc>
        <w:tc>
          <w:tcPr>
            <w:tcW w:w="1664" w:type="pct"/>
            <w:vAlign w:val="center"/>
          </w:tcPr>
          <w:p w14:paraId="757B2560" w14:textId="336622BF" w:rsidR="00CD0C5B" w:rsidRPr="00BB4C1B" w:rsidRDefault="00CD0C5B" w:rsidP="00015045">
            <w:pPr>
              <w:spacing w:after="0"/>
              <w:jc w:val="left"/>
              <w:rPr>
                <w:rFonts w:ascii="Times New Roman" w:hAnsi="Times New Roman" w:cs="Times New Roman"/>
                <w:kern w:val="2"/>
              </w:rPr>
            </w:pPr>
            <w:r>
              <w:rPr>
                <w:rFonts w:ascii="Times New Roman" w:hAnsi="Times New Roman" w:cs="Times New Roman"/>
                <w:kern w:val="2"/>
              </w:rPr>
              <w:t xml:space="preserve">Firma: </w:t>
            </w:r>
          </w:p>
        </w:tc>
      </w:tr>
    </w:tbl>
    <w:p>
      <w:pPr>
        <w:spacing w:after="0"/>
      </w:pPr>
    </w:p>
    <w:sectPr w:rsidR="00DE407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3B65F" w14:textId="77777777" w:rsidR="00102157" w:rsidRDefault="00102157">
      <w:r>
        <w:separator/>
      </w:r>
    </w:p>
  </w:endnote>
  <w:endnote w:type="continuationSeparator" w:id="0">
    <w:p w14:paraId="241B7C14" w14:textId="77777777" w:rsidR="00102157" w:rsidRDefault="001021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9BDC" w14:textId="77777777" w:rsidR="00DE4070" w:rsidRDefault="00000000">
    <w:pPr>
      <w:suppressAutoHyphens/>
      <w:spacing w:after="0"/>
      <w:ind w:right="360"/>
      <w:jc w:val="center"/>
      <w:rPr>
        <w:rFonts w:eastAsia="Times New Roman" w:cs="Times New Roman"/>
        <w:b/>
        <w:i/>
        <w:iCs/>
        <w:color w:val="000000"/>
        <w:sz w:val="20"/>
        <w:szCs w:val="20"/>
        <w:lang w:val="es-ES" w:eastAsia="es-ES"/>
      </w:rPr>
    </w:pPr>
    <w:r>
      <w:rPr>
        <w:rFonts w:eastAsia="Times New Roman" w:cs="Times New Roman"/>
        <w:b/>
        <w:i/>
        <w:iCs/>
        <w:color w:val="000000"/>
        <w:sz w:val="20"/>
        <w:szCs w:val="20"/>
        <w:lang w:val="es-ES" w:eastAsia="es-ES"/>
      </w:rPr>
      <w:t xml:space="preserve">"Unidos por una atención </w:t>
    </w:r>
    <w:proofErr w:type="gramStart"/>
    <w:r>
      <w:rPr>
        <w:rFonts w:eastAsia="Times New Roman" w:cs="Times New Roman"/>
        <w:b/>
        <w:i/>
        <w:iCs/>
        <w:color w:val="000000"/>
        <w:sz w:val="20"/>
        <w:szCs w:val="20"/>
        <w:lang w:val="es-ES" w:eastAsia="es-ES"/>
      </w:rPr>
      <w:t>más segura y más humana</w:t>
    </w:r>
    <w:proofErr w:type="gramEnd"/>
    <w:r>
      <w:rPr>
        <w:rFonts w:eastAsia="Times New Roman" w:cs="Times New Roman"/>
        <w:b/>
        <w:i/>
        <w:iCs/>
        <w:color w:val="000000"/>
        <w:sz w:val="20"/>
        <w:szCs w:val="20"/>
        <w:lang w:val="es-ES" w:eastAsia="es-ES"/>
      </w:rPr>
      <w:t>"</w:t>
    </w:r>
  </w:p>
  <w:p w14:paraId="62C8233B" w14:textId="77777777" w:rsidR="00DE4070" w:rsidRDefault="00000000">
    <w:pPr>
      <w:suppressAutoHyphens/>
      <w:spacing w:after="0"/>
      <w:ind w:right="360"/>
      <w:jc w:val="center"/>
      <w:rPr>
        <w:rFonts w:eastAsia="Times New Roman" w:cs="Times New Roman"/>
        <w:color w:val="000000"/>
        <w:sz w:val="18"/>
        <w:szCs w:val="18"/>
        <w:lang w:val="es-ES" w:eastAsia="es-ES"/>
      </w:rPr>
    </w:pPr>
    <w:r>
      <w:rPr>
        <w:rFonts w:eastAsia="Times New Roman" w:cs="Times New Roman"/>
        <w:color w:val="000000"/>
        <w:sz w:val="18"/>
        <w:szCs w:val="18"/>
        <w:lang w:val="es-ES" w:eastAsia="es-ES"/>
      </w:rPr>
      <w:t>KDX VDA, BARRIO MIRAFLOREZ, Cel.3118111189</w:t>
    </w:r>
  </w:p>
  <w:p w14:paraId="32FC863F" w14:textId="07455C00" w:rsidR="00DE4070" w:rsidRDefault="00173B02">
    <w:pPr>
      <w:tabs>
        <w:tab w:val="center" w:pos="4419"/>
        <w:tab w:val="right" w:pos="8838"/>
      </w:tabs>
      <w:suppressAutoHyphens/>
      <w:spacing w:after="0"/>
      <w:jc w:val="center"/>
      <w:rPr>
        <w:rFonts w:eastAsia="Arial" w:cs="Arial"/>
        <w:color w:val="000000"/>
        <w:sz w:val="18"/>
        <w:szCs w:val="18"/>
        <w:lang w:val="es-ES" w:eastAsia="es-ES"/>
      </w:rPr>
    </w:pPr>
    <w:hyperlink r:id="rId1" w:history="1">
      <w:r w:rsidRPr="009B58E2">
        <w:rPr>
          <w:rStyle w:val="Hipervnculo"/>
          <w:rFonts w:eastAsia="Arial" w:cs="Arial"/>
          <w:sz w:val="18"/>
          <w:szCs w:val="18"/>
          <w:lang w:val="es-ES" w:eastAsia="es-ES"/>
        </w:rPr>
        <w:t>secretariageneral@centroese.gov.co</w:t>
      </w:r>
    </w:hyperlink>
    <w:r>
      <w:rPr>
        <w:rFonts w:eastAsia="Arial" w:cs="Arial"/>
        <w:color w:val="000000"/>
        <w:sz w:val="18"/>
        <w:szCs w:val="18"/>
        <w:lang w:val="es-ES" w:eastAsia="es-ES"/>
      </w:rPr>
      <w:t xml:space="preserve"> – </w:t>
    </w:r>
    <w:hyperlink r:id="rId2" w:history="1">
      <w:r>
        <w:rPr>
          <w:rFonts w:eastAsia="Arial" w:cs="Arial"/>
          <w:color w:val="0563C1"/>
          <w:sz w:val="18"/>
          <w:szCs w:val="18"/>
          <w:u w:val="single"/>
          <w:lang w:val="es-ES" w:eastAsia="es-ES"/>
        </w:rPr>
        <w:t>www.esecentro.com</w:t>
      </w:r>
    </w:hyperlink>
    <w:r>
      <w:rPr>
        <w:rFonts w:eastAsia="Arial" w:cs="Arial"/>
        <w:color w:val="0563C1"/>
        <w:sz w:val="18"/>
        <w:szCs w:val="18"/>
        <w:u w:val="single"/>
        <w:lang w:val="es-ES" w:eastAsia="es-ES"/>
      </w:rPr>
      <w:t>.co</w:t>
    </w:r>
  </w:p>
  <w:p w14:paraId="1CB6E360" w14:textId="77777777" w:rsidR="00DE4070" w:rsidRDefault="00000000">
    <w:pPr>
      <w:tabs>
        <w:tab w:val="center" w:pos="4419"/>
        <w:tab w:val="right" w:pos="8838"/>
      </w:tabs>
      <w:suppressAutoHyphens/>
      <w:spacing w:after="0"/>
      <w:jc w:val="center"/>
      <w:rPr>
        <w:rFonts w:eastAsia="Arial" w:cs="Arial"/>
        <w:color w:val="000000"/>
        <w:sz w:val="18"/>
        <w:szCs w:val="18"/>
        <w:lang w:val="es-ES" w:eastAsia="es-ES"/>
      </w:rPr>
    </w:pPr>
    <w:r>
      <w:rPr>
        <w:rFonts w:eastAsia="Arial" w:cs="Arial"/>
        <w:color w:val="000000"/>
        <w:sz w:val="18"/>
        <w:szCs w:val="18"/>
        <w:lang w:val="es-ES" w:eastAsia="es-ES"/>
      </w:rPr>
      <w:t>Gramalote- Norte de Santander</w:t>
    </w:r>
  </w:p>
  <w:p w14:paraId="2F3D8E1A" w14:textId="77777777" w:rsidR="00DE4070" w:rsidRDefault="00DE40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627A6" w14:textId="77777777" w:rsidR="00102157" w:rsidRDefault="00102157">
      <w:pPr>
        <w:spacing w:after="0"/>
      </w:pPr>
      <w:r>
        <w:separator/>
      </w:r>
    </w:p>
  </w:footnote>
  <w:footnote w:type="continuationSeparator" w:id="0">
    <w:p w14:paraId="5AE79129" w14:textId="77777777" w:rsidR="00102157" w:rsidRDefault="00102157">
      <w:pPr>
        <w:spacing w:after="0"/>
      </w:pPr>
      <w:r>
        <w:continuationSeparator/>
      </w:r>
    </w:p>
  </w:footnote>
  <w:footnote w:id="1">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100 de 1993, artículo 195, numeral 6, y Ley 1150 de 2007, artículo 13. La asociación de las Empresas Sociales del Estado en cooperativas para sus compras está autorizada por el artículo 76 de la Ley 1438 de 2011.</w:t>
      </w:r>
    </w:p>
  </w:footnote>
  <w:footnote w:id="2">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789 de 2002, artículo 50, y Ley 1150 de 2007, artículo 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37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1196"/>
      <w:gridCol w:w="4568"/>
      <w:gridCol w:w="2032"/>
      <w:gridCol w:w="1698"/>
    </w:tblGrid>
    <w:tr w:rsidR="00DE4070" w14:paraId="26545AFC" w14:textId="77777777">
      <w:trPr>
        <w:trHeight w:val="60"/>
        <w:jc w:val="center"/>
      </w:trPr>
      <w:tc>
        <w:tcPr>
          <w:tcW w:w="654" w:type="pct"/>
          <w:vMerge w:val="restart"/>
        </w:tcPr>
        <w:p w14:paraId="15A0E886" w14:textId="77777777" w:rsidR="00DE4070" w:rsidRDefault="00000000">
          <w:pPr>
            <w:tabs>
              <w:tab w:val="center" w:pos="4252"/>
              <w:tab w:val="right" w:pos="8504"/>
            </w:tabs>
            <w:spacing w:after="0"/>
            <w:ind w:hanging="2"/>
            <w:jc w:val="center"/>
            <w:rPr>
              <w:color w:val="000000"/>
              <w:sz w:val="20"/>
              <w:szCs w:val="20"/>
            </w:rPr>
          </w:pPr>
          <w:r>
            <w:rPr>
              <w:noProof/>
              <w:sz w:val="20"/>
              <w:szCs w:val="20"/>
              <w:lang w:eastAsia="es-CO"/>
            </w:rPr>
            <w:drawing>
              <wp:anchor distT="0" distB="0" distL="114300" distR="114300" simplePos="0" relativeHeight="251659264" behindDoc="1" locked="0" layoutInCell="1" allowOverlap="1" wp14:anchorId="32F87063" wp14:editId="7FFC54DC">
                <wp:simplePos x="0" y="0"/>
                <wp:positionH relativeFrom="column">
                  <wp:posOffset>7620</wp:posOffset>
                </wp:positionH>
                <wp:positionV relativeFrom="paragraph">
                  <wp:posOffset>20320</wp:posOffset>
                </wp:positionV>
                <wp:extent cx="695325" cy="533400"/>
                <wp:effectExtent l="0" t="0" r="9525" b="0"/>
                <wp:wrapNone/>
                <wp:docPr id="4" name="Imagen 3"/>
                <wp:cNvGraphicFramePr/>
                <a:graphic xmlns:a="http://schemas.openxmlformats.org/drawingml/2006/main">
                  <a:graphicData uri="http://schemas.openxmlformats.org/drawingml/2006/picture">
                    <pic:pic xmlns:pic="http://schemas.openxmlformats.org/drawingml/2006/picture">
                      <pic:nvPicPr>
                        <pic:cNvPr id="4" name="Imagen 3"/>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5325" cy="533400"/>
                        </a:xfrm>
                        <a:prstGeom prst="rect">
                          <a:avLst/>
                        </a:prstGeom>
                        <a:noFill/>
                        <a:ln>
                          <a:noFill/>
                        </a:ln>
                      </pic:spPr>
                    </pic:pic>
                  </a:graphicData>
                </a:graphic>
              </wp:anchor>
            </w:drawing>
          </w:r>
        </w:p>
      </w:tc>
      <w:tc>
        <w:tcPr>
          <w:tcW w:w="2430" w:type="pct"/>
          <w:vMerge w:val="restart"/>
          <w:vAlign w:val="center"/>
        </w:tcPr>
        <w:p w14:paraId="5905158D" w14:textId="77777777" w:rsidR="00DE4070" w:rsidRDefault="00000000">
          <w:pPr>
            <w:tabs>
              <w:tab w:val="center" w:pos="4252"/>
              <w:tab w:val="right" w:pos="8504"/>
            </w:tabs>
            <w:spacing w:after="0"/>
            <w:ind w:hanging="2"/>
            <w:jc w:val="center"/>
            <w:rPr>
              <w:rFonts w:eastAsia="Arial" w:cs="Arial"/>
              <w:color w:val="000000"/>
              <w:sz w:val="20"/>
              <w:szCs w:val="20"/>
            </w:rPr>
          </w:pPr>
          <w:r>
            <w:rPr>
              <w:rFonts w:eastAsia="Arial" w:cs="Arial"/>
              <w:color w:val="000000"/>
              <w:sz w:val="20"/>
              <w:szCs w:val="20"/>
            </w:rPr>
            <w:t>COMUNICACIÓN EXTERNA</w:t>
          </w:r>
        </w:p>
      </w:tc>
      <w:tc>
        <w:tcPr>
          <w:tcW w:w="1094" w:type="pct"/>
          <w:vAlign w:val="center"/>
        </w:tcPr>
        <w:p w14:paraId="331896E5" w14:textId="77777777" w:rsidR="00DE4070" w:rsidRDefault="00000000">
          <w:pPr>
            <w:tabs>
              <w:tab w:val="center" w:pos="4252"/>
              <w:tab w:val="right" w:pos="8504"/>
            </w:tabs>
            <w:spacing w:after="0"/>
            <w:jc w:val="left"/>
            <w:rPr>
              <w:rFonts w:eastAsia="Calibri" w:cs="Arial"/>
              <w:color w:val="000000"/>
              <w:sz w:val="20"/>
              <w:szCs w:val="20"/>
            </w:rPr>
          </w:pPr>
          <w:r>
            <w:rPr>
              <w:rFonts w:eastAsia="Calibri" w:cs="Arial"/>
              <w:color w:val="000000"/>
              <w:sz w:val="20"/>
              <w:szCs w:val="20"/>
            </w:rPr>
            <w:t>Código: GCA-FO-02</w:t>
          </w:r>
        </w:p>
      </w:tc>
      <w:tc>
        <w:tcPr>
          <w:tcW w:w="822" w:type="pct"/>
          <w:vMerge w:val="restart"/>
        </w:tcPr>
        <w:p w14:paraId="51618C68" w14:textId="77777777" w:rsidR="00DE4070" w:rsidRDefault="00000000">
          <w:pPr>
            <w:tabs>
              <w:tab w:val="center" w:pos="4252"/>
              <w:tab w:val="right" w:pos="8504"/>
            </w:tabs>
            <w:spacing w:after="0"/>
            <w:ind w:hanging="2"/>
            <w:jc w:val="center"/>
            <w:rPr>
              <w:color w:val="000000"/>
              <w:sz w:val="20"/>
              <w:szCs w:val="20"/>
            </w:rPr>
          </w:pPr>
          <w:r>
            <w:rPr>
              <w:noProof/>
              <w:color w:val="000000"/>
              <w:sz w:val="20"/>
              <w:szCs w:val="20"/>
            </w:rPr>
            <w:drawing>
              <wp:inline distT="0" distB="0" distL="0" distR="0" wp14:anchorId="0E508665" wp14:editId="42407794">
                <wp:extent cx="987425" cy="600075"/>
                <wp:effectExtent l="0" t="0" r="3175" b="9525"/>
                <wp:docPr id="4080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1466"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87425" cy="600075"/>
                        </a:xfrm>
                        <a:prstGeom prst="rect">
                          <a:avLst/>
                        </a:prstGeom>
                        <a:noFill/>
                      </pic:spPr>
                    </pic:pic>
                  </a:graphicData>
                </a:graphic>
              </wp:inline>
            </w:drawing>
          </w:r>
        </w:p>
      </w:tc>
    </w:tr>
    <w:tr w:rsidR="00DE4070" w14:paraId="7FE72EE4" w14:textId="77777777">
      <w:tblPrEx>
        <w:tblCellMar>
          <w:left w:w="108" w:type="dxa"/>
          <w:right w:w="108" w:type="dxa"/>
        </w:tblCellMar>
      </w:tblPrEx>
      <w:trPr>
        <w:trHeight w:val="204"/>
        <w:jc w:val="center"/>
      </w:trPr>
      <w:tc>
        <w:tcPr>
          <w:tcW w:w="654" w:type="pct"/>
          <w:vMerge/>
        </w:tcPr>
        <w:p w14:paraId="0D3329ED" w14:textId="77777777" w:rsidR="00DE4070" w:rsidRDefault="00DE4070">
          <w:pPr>
            <w:widowControl w:val="0"/>
            <w:spacing w:after="0" w:line="276" w:lineRule="auto"/>
            <w:ind w:hanging="2"/>
            <w:rPr>
              <w:color w:val="000000"/>
              <w:sz w:val="20"/>
              <w:szCs w:val="20"/>
            </w:rPr>
          </w:pPr>
        </w:p>
      </w:tc>
      <w:tc>
        <w:tcPr>
          <w:tcW w:w="2430" w:type="pct"/>
          <w:vMerge/>
          <w:vAlign w:val="center"/>
        </w:tcPr>
        <w:p w14:paraId="7EDC1B4C" w14:textId="77777777" w:rsidR="00DE4070" w:rsidRDefault="00DE4070">
          <w:pPr>
            <w:widowControl w:val="0"/>
            <w:spacing w:after="0" w:line="276" w:lineRule="auto"/>
            <w:ind w:hanging="2"/>
            <w:rPr>
              <w:rFonts w:cs="Arial"/>
              <w:color w:val="000000"/>
              <w:sz w:val="20"/>
              <w:szCs w:val="20"/>
            </w:rPr>
          </w:pPr>
        </w:p>
      </w:tc>
      <w:tc>
        <w:tcPr>
          <w:tcW w:w="1094" w:type="pct"/>
          <w:vAlign w:val="center"/>
        </w:tcPr>
        <w:p w14:paraId="5D10274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Versión: 2</w:t>
          </w:r>
        </w:p>
      </w:tc>
      <w:tc>
        <w:tcPr>
          <w:tcW w:w="822" w:type="pct"/>
          <w:vMerge/>
        </w:tcPr>
        <w:p w14:paraId="4FBF7B3A"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0AE592AC" w14:textId="77777777">
      <w:tblPrEx>
        <w:tblCellMar>
          <w:left w:w="108" w:type="dxa"/>
          <w:right w:w="108" w:type="dxa"/>
        </w:tblCellMar>
      </w:tblPrEx>
      <w:trPr>
        <w:trHeight w:val="60"/>
        <w:jc w:val="center"/>
      </w:trPr>
      <w:tc>
        <w:tcPr>
          <w:tcW w:w="654" w:type="pct"/>
          <w:vMerge/>
        </w:tcPr>
        <w:p w14:paraId="62FEE453"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restart"/>
          <w:vAlign w:val="center"/>
        </w:tcPr>
        <w:p w14:paraId="678A3BF6" w14:textId="77777777" w:rsidR="00DE4070" w:rsidRDefault="00000000">
          <w:pPr>
            <w:tabs>
              <w:tab w:val="center" w:pos="4252"/>
              <w:tab w:val="right" w:pos="8504"/>
            </w:tabs>
            <w:spacing w:after="0"/>
            <w:ind w:hanging="2"/>
            <w:jc w:val="center"/>
            <w:rPr>
              <w:rFonts w:cs="Arial"/>
              <w:color w:val="000000"/>
              <w:sz w:val="20"/>
              <w:szCs w:val="20"/>
            </w:rPr>
          </w:pPr>
          <w:r>
            <w:rPr>
              <w:rFonts w:cs="Arial"/>
              <w:color w:val="000000"/>
              <w:sz w:val="20"/>
              <w:szCs w:val="20"/>
            </w:rPr>
            <w:t>E.S.E HOSPITAL REGIONAL CENTRO</w:t>
          </w:r>
        </w:p>
      </w:tc>
      <w:tc>
        <w:tcPr>
          <w:tcW w:w="1094" w:type="pct"/>
          <w:vAlign w:val="center"/>
        </w:tcPr>
        <w:p w14:paraId="3D2B3737"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 xml:space="preserve">Fecha: </w:t>
          </w:r>
          <w:proofErr w:type="gramStart"/>
          <w:r>
            <w:rPr>
              <w:rFonts w:eastAsia="Calibri" w:cs="Arial"/>
              <w:color w:val="000000"/>
              <w:sz w:val="20"/>
              <w:szCs w:val="20"/>
            </w:rPr>
            <w:t>Agosto</w:t>
          </w:r>
          <w:proofErr w:type="gramEnd"/>
          <w:r>
            <w:rPr>
              <w:rFonts w:eastAsia="Calibri" w:cs="Arial"/>
              <w:color w:val="000000"/>
              <w:sz w:val="20"/>
              <w:szCs w:val="20"/>
            </w:rPr>
            <w:t xml:space="preserve"> 2024</w:t>
          </w:r>
        </w:p>
      </w:tc>
      <w:tc>
        <w:tcPr>
          <w:tcW w:w="822" w:type="pct"/>
          <w:vMerge/>
        </w:tcPr>
        <w:p w14:paraId="3DF21392"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55AB004C" w14:textId="77777777">
      <w:tblPrEx>
        <w:tblCellMar>
          <w:left w:w="108" w:type="dxa"/>
          <w:right w:w="108" w:type="dxa"/>
        </w:tblCellMar>
      </w:tblPrEx>
      <w:trPr>
        <w:trHeight w:val="60"/>
        <w:jc w:val="center"/>
      </w:trPr>
      <w:tc>
        <w:tcPr>
          <w:tcW w:w="654" w:type="pct"/>
          <w:vMerge/>
        </w:tcPr>
        <w:p w14:paraId="243880AA"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ign w:val="center"/>
        </w:tcPr>
        <w:p w14:paraId="26ACCBBB" w14:textId="77777777" w:rsidR="00DE4070" w:rsidRDefault="00DE4070">
          <w:pPr>
            <w:widowControl w:val="0"/>
            <w:spacing w:after="0" w:line="276" w:lineRule="auto"/>
            <w:ind w:hanging="2"/>
            <w:rPr>
              <w:rFonts w:eastAsia="Calibri" w:cs="Arial"/>
              <w:color w:val="000000"/>
              <w:sz w:val="20"/>
              <w:szCs w:val="20"/>
            </w:rPr>
          </w:pPr>
        </w:p>
      </w:tc>
      <w:tc>
        <w:tcPr>
          <w:tcW w:w="1094" w:type="pct"/>
          <w:vAlign w:val="center"/>
        </w:tcPr>
        <w:p w14:paraId="4E1093D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Pag.:</w:t>
          </w:r>
          <w:r>
            <w:rPr>
              <w:rFonts w:eastAsia="Calibri" w:cs="Arial"/>
              <w:color w:val="000000"/>
              <w:sz w:val="20"/>
              <w:szCs w:val="20"/>
            </w:rPr>
            <w:fldChar w:fldCharType="begin"/>
          </w:r>
          <w:r>
            <w:rPr>
              <w:rFonts w:eastAsia="Calibri" w:cs="Arial"/>
              <w:color w:val="000000"/>
              <w:sz w:val="20"/>
              <w:szCs w:val="20"/>
            </w:rPr>
            <w:instrText>PAGE   \* MERGEFORMAT</w:instrText>
          </w:r>
          <w:r>
            <w:rPr>
              <w:rFonts w:eastAsia="Calibri" w:cs="Arial"/>
              <w:color w:val="000000"/>
              <w:sz w:val="20"/>
              <w:szCs w:val="20"/>
            </w:rPr>
            <w:fldChar w:fldCharType="separate"/>
          </w:r>
          <w:r>
            <w:rPr>
              <w:rFonts w:eastAsia="Calibri" w:cs="Arial"/>
              <w:color w:val="000000"/>
              <w:sz w:val="20"/>
              <w:szCs w:val="20"/>
            </w:rPr>
            <w:t>1</w:t>
          </w:r>
          <w:r>
            <w:rPr>
              <w:rFonts w:eastAsia="Calibri" w:cs="Arial"/>
              <w:color w:val="000000"/>
              <w:sz w:val="20"/>
              <w:szCs w:val="20"/>
            </w:rPr>
            <w:fldChar w:fldCharType="end"/>
          </w:r>
        </w:p>
      </w:tc>
      <w:tc>
        <w:tcPr>
          <w:tcW w:w="822" w:type="pct"/>
          <w:vMerge/>
        </w:tcPr>
        <w:p w14:paraId="6D04367B" w14:textId="77777777" w:rsidR="00DE4070" w:rsidRDefault="00DE4070">
          <w:pPr>
            <w:widowControl w:val="0"/>
            <w:spacing w:after="0" w:line="276" w:lineRule="auto"/>
            <w:ind w:hanging="2"/>
            <w:rPr>
              <w:rFonts w:ascii="Calibri" w:eastAsia="Calibri" w:hAnsi="Calibri" w:cs="Calibri"/>
              <w:color w:val="000000"/>
              <w:sz w:val="20"/>
              <w:szCs w:val="20"/>
            </w:rPr>
          </w:pPr>
        </w:p>
      </w:tc>
    </w:tr>
  </w:tbl>
  <w:p w14:paraId="1C3747F1" w14:textId="77777777" w:rsidR="00DE4070" w:rsidRDefault="00DE407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7C3"/>
    <w:rsid w:val="000563F6"/>
    <w:rsid w:val="00094768"/>
    <w:rsid w:val="00102157"/>
    <w:rsid w:val="00126A1F"/>
    <w:rsid w:val="00147C18"/>
    <w:rsid w:val="0015414C"/>
    <w:rsid w:val="00173B02"/>
    <w:rsid w:val="001E7C52"/>
    <w:rsid w:val="0023289C"/>
    <w:rsid w:val="002355C4"/>
    <w:rsid w:val="00242F16"/>
    <w:rsid w:val="00253C95"/>
    <w:rsid w:val="002B3A7A"/>
    <w:rsid w:val="003079BB"/>
    <w:rsid w:val="00323C18"/>
    <w:rsid w:val="003451F7"/>
    <w:rsid w:val="003915B3"/>
    <w:rsid w:val="003B5C75"/>
    <w:rsid w:val="003F311D"/>
    <w:rsid w:val="00405478"/>
    <w:rsid w:val="004705D9"/>
    <w:rsid w:val="00484C4D"/>
    <w:rsid w:val="004B3B04"/>
    <w:rsid w:val="004B6CD9"/>
    <w:rsid w:val="004D6A9D"/>
    <w:rsid w:val="004E0C35"/>
    <w:rsid w:val="004E19FB"/>
    <w:rsid w:val="005206D4"/>
    <w:rsid w:val="00524590"/>
    <w:rsid w:val="005A45A3"/>
    <w:rsid w:val="005B243F"/>
    <w:rsid w:val="005B6C48"/>
    <w:rsid w:val="005E6D37"/>
    <w:rsid w:val="005F4B01"/>
    <w:rsid w:val="005F79C5"/>
    <w:rsid w:val="00606C0A"/>
    <w:rsid w:val="00624A6C"/>
    <w:rsid w:val="00640A3A"/>
    <w:rsid w:val="0066029F"/>
    <w:rsid w:val="00665D08"/>
    <w:rsid w:val="006719F1"/>
    <w:rsid w:val="00696C3A"/>
    <w:rsid w:val="006B0744"/>
    <w:rsid w:val="006B4C97"/>
    <w:rsid w:val="006B6D79"/>
    <w:rsid w:val="00724999"/>
    <w:rsid w:val="007A1F0F"/>
    <w:rsid w:val="007E0CB5"/>
    <w:rsid w:val="007E371E"/>
    <w:rsid w:val="007E7A56"/>
    <w:rsid w:val="00801B92"/>
    <w:rsid w:val="008B160D"/>
    <w:rsid w:val="008B4C10"/>
    <w:rsid w:val="008C15A3"/>
    <w:rsid w:val="008C6F62"/>
    <w:rsid w:val="008D0AC6"/>
    <w:rsid w:val="008D6EEF"/>
    <w:rsid w:val="008E3B77"/>
    <w:rsid w:val="009332A9"/>
    <w:rsid w:val="0093332B"/>
    <w:rsid w:val="0093587C"/>
    <w:rsid w:val="00965F51"/>
    <w:rsid w:val="009905FE"/>
    <w:rsid w:val="009B45F7"/>
    <w:rsid w:val="009D67C3"/>
    <w:rsid w:val="009F23D5"/>
    <w:rsid w:val="00A018CA"/>
    <w:rsid w:val="00A03FD1"/>
    <w:rsid w:val="00A22772"/>
    <w:rsid w:val="00A52736"/>
    <w:rsid w:val="00A8053B"/>
    <w:rsid w:val="00A86C95"/>
    <w:rsid w:val="00AC02D5"/>
    <w:rsid w:val="00B13B7C"/>
    <w:rsid w:val="00B1420D"/>
    <w:rsid w:val="00B26974"/>
    <w:rsid w:val="00B777DB"/>
    <w:rsid w:val="00B97CA8"/>
    <w:rsid w:val="00BB4C1B"/>
    <w:rsid w:val="00BC1594"/>
    <w:rsid w:val="00BD50D1"/>
    <w:rsid w:val="00BF10B0"/>
    <w:rsid w:val="00C64230"/>
    <w:rsid w:val="00C947D6"/>
    <w:rsid w:val="00C95256"/>
    <w:rsid w:val="00CA3F01"/>
    <w:rsid w:val="00CB786B"/>
    <w:rsid w:val="00CC5003"/>
    <w:rsid w:val="00CC67F9"/>
    <w:rsid w:val="00CD0C5B"/>
    <w:rsid w:val="00CE1A9C"/>
    <w:rsid w:val="00CE37F7"/>
    <w:rsid w:val="00CF66EB"/>
    <w:rsid w:val="00D47E14"/>
    <w:rsid w:val="00D51A48"/>
    <w:rsid w:val="00D52CA1"/>
    <w:rsid w:val="00D92C91"/>
    <w:rsid w:val="00DA588F"/>
    <w:rsid w:val="00DB3A8F"/>
    <w:rsid w:val="00DD5FDD"/>
    <w:rsid w:val="00DE4070"/>
    <w:rsid w:val="00E06441"/>
    <w:rsid w:val="00E332F4"/>
    <w:rsid w:val="00E3577F"/>
    <w:rsid w:val="00E55AD1"/>
    <w:rsid w:val="00E8158D"/>
    <w:rsid w:val="00EC6E60"/>
    <w:rsid w:val="00ED2745"/>
    <w:rsid w:val="00EF6B23"/>
    <w:rsid w:val="00F0434F"/>
    <w:rsid w:val="00F055D9"/>
    <w:rsid w:val="00F1071B"/>
    <w:rsid w:val="00F37E90"/>
    <w:rsid w:val="00F5680A"/>
    <w:rsid w:val="00F816BF"/>
    <w:rsid w:val="00FE02F1"/>
    <w:rsid w:val="00FE208F"/>
    <w:rsid w:val="00FE6103"/>
    <w:rsid w:val="00FE6BD7"/>
    <w:rsid w:val="4D215D21"/>
    <w:rsid w:val="667D3839"/>
    <w:rsid w:val="6B162CBB"/>
    <w:rsid w:val="7890750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402"/>
  <w15:docId w15:val="{597F8497-119D-4292-BF40-B9CC1EEA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jc w:val="both"/>
    </w:pPr>
    <w:rPr>
      <w:rFonts w:ascii="Arial" w:hAnsi="Arial"/>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uiPriority w:val="20"/>
    <w:qFormat/>
    <w:rPr>
      <w:i/>
      <w:iCs/>
    </w:rPr>
  </w:style>
  <w:style w:type="character" w:styleId="Hipervnculo">
    <w:name w:val="Hyperlink"/>
    <w:rPr>
      <w:color w:val="0000FF"/>
      <w:u w:val="single"/>
    </w:rPr>
  </w:style>
  <w:style w:type="paragraph" w:styleId="Textodeglobo">
    <w:name w:val="Balloon Text"/>
    <w:basedOn w:val="Normal"/>
    <w:link w:val="TextodegloboCar"/>
    <w:uiPriority w:val="99"/>
    <w:semiHidden/>
    <w:unhideWhenUsed/>
    <w:qFormat/>
    <w:pPr>
      <w:spacing w:after="0"/>
    </w:pPr>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spacing w:after="0"/>
    </w:pPr>
  </w:style>
  <w:style w:type="paragraph" w:styleId="Piedepgina">
    <w:name w:val="footer"/>
    <w:basedOn w:val="Normal"/>
    <w:link w:val="PiedepginaCar"/>
    <w:uiPriority w:val="99"/>
    <w:unhideWhenUsed/>
    <w:qFormat/>
    <w:pPr>
      <w:tabs>
        <w:tab w:val="center" w:pos="4419"/>
        <w:tab w:val="right" w:pos="8838"/>
      </w:tabs>
      <w:spacing w:after="0"/>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qFormat/>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paragraph" w:styleId="Prrafodelista">
    <w:name w:val="List Paragraph"/>
    <w:basedOn w:val="Normal"/>
    <w:link w:val="PrrafodelistaCar"/>
    <w:uiPriority w:val="34"/>
    <w:qFormat/>
    <w:pPr>
      <w:ind w:left="720"/>
      <w:contextualSpacing/>
    </w:pPr>
  </w:style>
  <w:style w:type="character" w:customStyle="1" w:styleId="PrrafodelistaCar">
    <w:name w:val="Párrafo de lista Car"/>
    <w:link w:val="Prrafodelista"/>
    <w:uiPriority w:val="34"/>
    <w:qFormat/>
    <w:rPr>
      <w:rFonts w:ascii="Arial" w:hAnsi="Arial"/>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styleId="Sinespaciado">
    <w:name w:val="No Spacing"/>
    <w:uiPriority w:val="1"/>
    <w:qFormat/>
    <w:rPr>
      <w:sz w:val="22"/>
      <w:szCs w:val="22"/>
      <w:lang w:eastAsia="en-US"/>
    </w:rPr>
  </w:style>
  <w:style w:type="character" w:styleId="Mencinsinresolver">
    <w:name w:val="Unresolved Mention"/>
    <w:basedOn w:val="Fuentedeprrafopredeter"/>
    <w:uiPriority w:val="99"/>
    <w:semiHidden/>
    <w:unhideWhenUsed/>
    <w:rsid w:val="00173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esecentro.com" TargetMode="External"/><Relationship Id="rId1" Type="http://schemas.openxmlformats.org/officeDocument/2006/relationships/hyperlink" Target="mailto:secretariageneral@centroese.gov.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250</Words>
  <Characters>1381</Characters>
  <Application>Microsoft Office Word</Application>
  <DocSecurity>0</DocSecurity>
  <Lines>11</Lines>
  <Paragraphs>3</Paragraphs>
  <ScaleCrop>false</ScaleCrop>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Patiño Flórez</dc:creator>
  <cp:lastModifiedBy>Natalia Angarita</cp:lastModifiedBy>
  <cp:revision>2</cp:revision>
  <cp:lastPrinted>2021-03-08T19:29:00Z</cp:lastPrinted>
  <dcterms:created xsi:type="dcterms:W3CDTF">2026-10-06T22:41:00Z</dcterms:created>
  <dcterms:modified xsi:type="dcterms:W3CDTF">2026-10-06T22:41:00Z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81F5C677738245DEBB240246E264F419_12</vt:lpwstr>
  </property>
</Properties>
</file>