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Gramalote, 7 de octubre de 2026</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Señores</w:t>
      </w:r>
    </w:p>
    <w:p>
      <w:pPr>
        <w:spacing w:before="0" w:after="0" w:line="276" w:lineRule="auto"/>
        <w:jc w:val="left"/>
        <w:rPr>
          <w:rFonts w:ascii="Times New Roman" w:eastAsia="Arial" w:hAnsi="Times New Roman" w:cs="Times New Roman"/>
          <w:b/>
          <w:bCs/>
          <w:sz w:val="24"/>
          <w:szCs w:val="24"/>
          <w:lang w:val="es-CO"/>
        </w:rPr>
      </w:pPr>
      <w:r>
        <w:rPr>
          <w:rFonts w:ascii="Times New Roman" w:eastAsia="Arial" w:hAnsi="Times New Roman" w:cs="Times New Roman"/>
          <w:b/>
          <w:bCs/>
          <w:sz w:val="24"/>
          <w:szCs w:val="24"/>
          <w:lang w:val="es-CO"/>
        </w:rPr>
        <w:t xml:space="preserve">CONTRALORÍA GENERAL DEL DEPARTAMENTO NORTE DE SANTANDER</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Atención: doctora Gloria Esperanza Vera Castillo, Profesional Universitario, Auditora designada</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San José de Cúcuta</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b/>
          <w:bCs/>
          <w:sz w:val="24"/>
          <w:szCs w:val="24"/>
          <w:lang w:val="es-CO"/>
        </w:rPr>
        <w:t xml:space="preserve">Asunto:</w:t>
      </w:r>
      <w:r>
        <w:rPr>
          <w:rFonts w:ascii="Times New Roman" w:eastAsia="Arial" w:hAnsi="Times New Roman" w:cs="Times New Roman"/>
          <w:sz w:val="24"/>
          <w:szCs w:val="24"/>
          <w:lang w:val="es-CO"/>
        </w:rPr>
        <w:t xml:space="preserve"> Respuesta al requerimiento del 1 de octubre de 2026 y remisión de soportes del Contrato de Suministro N° 1058 de 2025.</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b/>
          <w:bCs/>
          <w:sz w:val="24"/>
          <w:szCs w:val="24"/>
          <w:lang w:val="es-CO"/>
        </w:rPr>
        <w:t xml:space="preserve">Referencia:</w:t>
      </w:r>
      <w:r>
        <w:rPr>
          <w:rFonts w:ascii="Times New Roman" w:eastAsia="Arial" w:hAnsi="Times New Roman" w:cs="Times New Roman"/>
          <w:sz w:val="24"/>
          <w:szCs w:val="24"/>
          <w:lang w:val="es-CO"/>
        </w:rPr>
        <w:t xml:space="preserve"> Auditoría Financiera de Gestión y Resultados Abreviada, vigencia 2025. Radicado N° 20262010017741 del 18 de agosto de 2026.</w:t>
      </w:r>
    </w:p>
    <w:p>
      <w:pPr>
        <w:spacing w:before="0" w:after="0" w:line="276" w:lineRule="auto"/>
        <w:jc w:val="both"/>
        <w:rPr>
          <w:rFonts w:ascii="Times New Roman" w:eastAsia="Arial" w:hAnsi="Times New Roman" w:cs="Times New Roman"/>
          <w:sz w:val="24"/>
          <w:szCs w:val="24"/>
          <w:lang w:val="es-CO"/>
        </w:rPr>
      </w:pP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Cordial saludo.</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En atención al requerimiento del 1 de octubre de 2026 y a su alcance </w:t>
      </w:r>
      <w:r>
        <w:rPr>
          <w:rFonts w:ascii="Times New Roman" w:eastAsia="Arial" w:hAnsi="Times New Roman" w:cs="Times New Roman"/>
          <w:highlight w:val="yellow"/>
          <w:sz w:val="24"/>
          <w:szCs w:val="24"/>
          <w:lang w:val="es-CO"/>
        </w:rPr>
        <w:t xml:space="preserve">fecha y radicado del oficio de alcance</w:t>
      </w:r>
      <w:r>
        <w:rPr>
          <w:rFonts w:ascii="Times New Roman" w:eastAsia="Arial" w:hAnsi="Times New Roman" w:cs="Times New Roman"/>
          <w:sz w:val="24"/>
          <w:szCs w:val="24"/>
          <w:lang w:val="es-CO"/>
        </w:rPr>
        <w:t xml:space="preserve">, y dentro del término solicitado el 2 de octubre de 2026 </w:t>
      </w:r>
      <w:r>
        <w:rPr>
          <w:rFonts w:ascii="Times New Roman" w:eastAsia="Arial" w:hAnsi="Times New Roman" w:cs="Times New Roman"/>
          <w:highlight w:val="yellow"/>
          <w:sz w:val="24"/>
          <w:szCs w:val="24"/>
          <w:lang w:val="es-CO"/>
        </w:rPr>
        <w:t xml:space="preserve">citar radicado</w:t>
      </w:r>
      <w:r>
        <w:rPr>
          <w:rFonts w:ascii="Times New Roman" w:eastAsia="Arial" w:hAnsi="Times New Roman" w:cs="Times New Roman"/>
          <w:sz w:val="24"/>
          <w:szCs w:val="24"/>
          <w:lang w:val="es-CO"/>
        </w:rPr>
        <w:t xml:space="preserve">, la E.S.E. Hospital Regional Centro responde las observaciones sobre el Contrato de Suministro N° 1058 de 2025 y remite los soportes que las acreditan. Esta comunicación complementa la respuesta del 29 de septiembre de 2026 </w:t>
      </w:r>
      <w:r>
        <w:rPr>
          <w:rFonts w:ascii="Times New Roman" w:eastAsia="Arial" w:hAnsi="Times New Roman" w:cs="Times New Roman"/>
          <w:highlight w:val="yellow"/>
          <w:sz w:val="24"/>
          <w:szCs w:val="24"/>
          <w:lang w:val="es-CO"/>
        </w:rPr>
        <w:t xml:space="preserve">citar radicado</w:t>
      </w:r>
      <w:r>
        <w:rPr>
          <w:rFonts w:ascii="Times New Roman" w:eastAsia="Arial" w:hAnsi="Times New Roman" w:cs="Times New Roman"/>
          <w:sz w:val="24"/>
          <w:szCs w:val="24"/>
          <w:lang w:val="es-CO"/>
        </w:rPr>
        <w:t xml:space="preserve">, con su fe de erratas y anexo aclaratorio. Las respuestas de los contratos 983 y 1056 de 2025 se radican por separado .</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1. Antecedentes</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El contrato tuvo por objeto el suministro de material médico quirúrgico y de laboratorio para la red hospitalaria. Se celebró con la Cooperativa de Hospitales de Santander y el Nororiente Colombiano, COHOSAN, NIT 804.009.200-4, </w:t>
      </w:r>
      <w:r>
        <w:rPr>
          <w:rFonts w:ascii="Times New Roman" w:eastAsia="Arial" w:hAnsi="Times New Roman" w:cs="Times New Roman"/>
          <w:highlight w:val="yellow"/>
          <w:sz w:val="24"/>
          <w:szCs w:val="24"/>
          <w:lang w:val="es-CO"/>
        </w:rPr>
        <w:t xml:space="preserve">de la que la E.S.E. es asociada,</w:t>
      </w:r>
      <w:r>
        <w:rPr>
          <w:rFonts w:ascii="Times New Roman" w:eastAsia="Arial" w:hAnsi="Times New Roman" w:cs="Times New Roman"/>
          <w:sz w:val="24"/>
          <w:szCs w:val="24"/>
          <w:lang w:val="es-CO"/>
        </w:rPr>
        <w:t xml:space="preserve"> por $40.000.000, mediante contratación directa por las causales del Manual de Contratación para contratos con cooperativas asociadas y para el suministro de medicamentos, elementos hospitalarios y de laboratorio. CDP N° 1586 del 5 de diciembre de 2025 y RP N° 1585 del 11 de diciembre de 2025, rubros 2.4.5.01.04.02 ($15.000.000) y 2.4.5.01.04.03 ($25.000.000). Acta de inicio del 15 de diciembre de 2025, plazo máximo de veintiún días; quince facturas del 15 y 16 de diciembre; acta de recibo final y de liquidación del 30 de diciembre de 2025 por $39.998.124, con liberación de $1.876; egreso CE-10343 del 30 de diciembre de 2025, girado el 13 de enero de 2026 por $38.259.480. La E.S.E. contrata bajo el derecho privado y su Manual de Contratación (Resolución 002 de 2023 y sus modificaciones).</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2. Respuesta a las observaciones</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w:t>
        <w:tab/>
      </w:r>
      <w:r>
        <w:rPr>
          <w:rFonts w:ascii="Times New Roman" w:eastAsia="Arial" w:hAnsi="Times New Roman" w:cs="Times New Roman"/>
          <w:sz w:val="24"/>
          <w:szCs w:val="24"/>
          <w:lang w:val="es-CO"/>
        </w:rPr>
        <w:t xml:space="preserve">Modalidad y formato de rendición. El contrato se celebró por contratación directa con fundamento en las causales del Manual </w:t>
      </w:r>
      <w:r>
        <w:rPr>
          <w:rFonts w:ascii="Times New Roman" w:eastAsia="Arial" w:hAnsi="Times New Roman" w:cs="Times New Roman"/>
          <w:highlight w:val="yellow"/>
          <w:sz w:val="24"/>
          <w:szCs w:val="24"/>
          <w:lang w:val="es-CO"/>
        </w:rPr>
        <w:t xml:space="preserve">numerales, confirmar numeración vigente</w:t>
      </w:r>
      <w:r>
        <w:rPr>
          <w:rFonts w:ascii="Times New Roman" w:eastAsia="Arial" w:hAnsi="Times New Roman" w:cs="Times New Roman"/>
          <w:sz w:val="24"/>
          <w:szCs w:val="24"/>
          <w:lang w:val="es-CO"/>
        </w:rPr>
        <w:t xml:space="preserve">, procedente aunque el valor esté en el rango de la mínima cuantía. La expresión "invitación directa por régimen especial" del acta de liquidación es un error mecanográfico corregido en el acta aclaratoria. En el formato de rendición, "SIN OFERTAS" corresponde, según lo entiende la entidad, a la opción para contratos sin convocatoria; el rubro, el plazo de veinte días y la fecha de terminación sí son errores. Se solicita indicar el procedimiento de corrección. Se anexa la comunicación sobre la Inconsistencia N° 8 con el CDP y el RP.</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b)</w:t>
        <w:tab/>
      </w:r>
      <w:r>
        <w:rPr>
          <w:rFonts w:ascii="Times New Roman" w:eastAsia="Arial" w:hAnsi="Times New Roman" w:cs="Times New Roman"/>
          <w:sz w:val="24"/>
          <w:szCs w:val="24"/>
          <w:lang w:val="es-CO"/>
        </w:rPr>
        <w:t xml:space="preserve">Estudio previo. La cita del Acuerdo 026 de 2022, la discordancia entre letras y números, la matriz de riesgos y el plazo al 31 de diciembre son residuos de plantilla ya aclarados el 29 de septiembre. La necesidad se acredita con el ingreso, el recibo y los kardex. Como mejora, los estudios previos de suministro incluirán cantidades y precios por ítem.</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w:t>
        <w:tab/>
      </w:r>
      <w:r>
        <w:rPr>
          <w:rFonts w:ascii="Times New Roman" w:eastAsia="Arial" w:hAnsi="Times New Roman" w:cs="Times New Roman"/>
          <w:sz w:val="24"/>
          <w:szCs w:val="24"/>
          <w:lang w:val="es-CO"/>
        </w:rPr>
        <w:t xml:space="preserve">Minuta del contrato. Las menciones a insumos farmacéuticos, odontología, equipos, Decreto 734 de 2012 y prestación de servicios provienen de plantillas. El acta aclaratoria precisa que se trata de un contrato de suministro de material médico quirúrgico y de laboratorio, regido por el derecho privado y el Manual, sin alterar objeto, valor ni demás cláusulas. </w:t>
      </w:r>
      <w:r>
        <w:rPr>
          <w:rFonts w:ascii="Times New Roman" w:eastAsia="Arial" w:hAnsi="Times New Roman" w:cs="Times New Roman"/>
          <w:highlight w:val="yellow"/>
          <w:sz w:val="24"/>
          <w:szCs w:val="24"/>
          <w:lang w:val="es-CO"/>
        </w:rPr>
        <w:t xml:space="preserve">Antes de anexarla, corregir sus cláusulas segunda y tercera, y fecharla y firmarla en 2026.</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d)</w:t>
        <w:tab/>
      </w:r>
      <w:r>
        <w:rPr>
          <w:rFonts w:ascii="Times New Roman" w:eastAsia="Arial" w:hAnsi="Times New Roman" w:cs="Times New Roman"/>
          <w:sz w:val="24"/>
          <w:szCs w:val="24"/>
          <w:lang w:val="es-CO"/>
        </w:rPr>
        <w:t xml:space="preserve">Garantía. Se anexa la garantía N° 4416662 de Seguros Generales Suramericana S.A. del </w:t>
      </w:r>
      <w:r>
        <w:rPr>
          <w:rFonts w:ascii="Times New Roman" w:eastAsia="Arial" w:hAnsi="Times New Roman" w:cs="Times New Roman"/>
          <w:highlight w:val="yellow"/>
          <w:sz w:val="24"/>
          <w:szCs w:val="24"/>
          <w:lang w:val="es-CO"/>
        </w:rPr>
        <w:t xml:space="preserve">fecha</w:t>
      </w:r>
      <w:r>
        <w:rPr>
          <w:rFonts w:ascii="Times New Roman" w:eastAsia="Arial" w:hAnsi="Times New Roman" w:cs="Times New Roman"/>
          <w:sz w:val="24"/>
          <w:szCs w:val="24"/>
          <w:lang w:val="es-CO"/>
        </w:rPr>
        <w:t xml:space="preserve">, con amparos de </w:t>
      </w:r>
      <w:r>
        <w:rPr>
          <w:rFonts w:ascii="Times New Roman" w:eastAsia="Arial" w:hAnsi="Times New Roman" w:cs="Times New Roman"/>
          <w:highlight w:val="yellow"/>
          <w:sz w:val="24"/>
          <w:szCs w:val="24"/>
          <w:lang w:val="es-CO"/>
        </w:rPr>
        <w:t xml:space="preserve">denominación</w:t>
      </w:r>
      <w:r>
        <w:rPr>
          <w:rFonts w:ascii="Times New Roman" w:eastAsia="Arial" w:hAnsi="Times New Roman" w:cs="Times New Roman"/>
          <w:sz w:val="24"/>
          <w:szCs w:val="24"/>
          <w:lang w:val="es-CO"/>
        </w:rPr>
        <w:t xml:space="preserve"> por $4.000.000 cada uno y vigencia </w:t>
      </w:r>
      <w:r>
        <w:rPr>
          <w:rFonts w:ascii="Times New Roman" w:eastAsia="Arial" w:hAnsi="Times New Roman" w:cs="Times New Roman"/>
          <w:highlight w:val="yellow"/>
          <w:sz w:val="24"/>
          <w:szCs w:val="24"/>
          <w:lang w:val="es-CO"/>
        </w:rPr>
        <w:t xml:space="preserve">fechas</w:t>
      </w:r>
      <w:r>
        <w:rPr>
          <w:rFonts w:ascii="Times New Roman" w:eastAsia="Arial" w:hAnsi="Times New Roman" w:cs="Times New Roman"/>
          <w:sz w:val="24"/>
          <w:szCs w:val="24"/>
          <w:lang w:val="es-CO"/>
        </w:rPr>
        <w:t xml:space="preserve">, y su acta de aprobación del </w:t>
      </w:r>
      <w:r>
        <w:rPr>
          <w:rFonts w:ascii="Times New Roman" w:eastAsia="Arial" w:hAnsi="Times New Roman" w:cs="Times New Roman"/>
          <w:highlight w:val="yellow"/>
          <w:sz w:val="24"/>
          <w:szCs w:val="24"/>
          <w:lang w:val="es-CO"/>
        </w:rPr>
        <w:t xml:space="preserve">fecha</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w:t>
        <w:tab/>
      </w:r>
      <w:r>
        <w:rPr>
          <w:rFonts w:ascii="Times New Roman" w:eastAsia="Arial" w:hAnsi="Times New Roman" w:cs="Times New Roman"/>
          <w:sz w:val="24"/>
          <w:szCs w:val="24"/>
          <w:lang w:val="es-CO"/>
        </w:rPr>
        <w:t xml:space="preserve">Egreso CE-10343 y descuentos. El concepto del comprobante fue corregido por fe de erratas; su valor bruto, $39.998.124, y las quince facturas lo identifican con este contrato. Se practicó retención de IVA del 15% ($69.711); no se retuvo renta porque la cooperativa pertenece al régimen tributario especial (E.T., artículo 19-4) </w:t>
      </w:r>
      <w:r>
        <w:rPr>
          <w:rFonts w:ascii="Times New Roman" w:eastAsia="Arial" w:hAnsi="Times New Roman" w:cs="Times New Roman"/>
          <w:highlight w:val="yellow"/>
          <w:sz w:val="24"/>
          <w:szCs w:val="24"/>
          <w:lang w:val="es-CO"/>
        </w:rPr>
        <w:t xml:space="preserve">anexar RUT</w:t>
      </w:r>
      <w:r>
        <w:rPr>
          <w:rFonts w:ascii="Times New Roman" w:eastAsia="Arial" w:hAnsi="Times New Roman" w:cs="Times New Roman"/>
          <w:sz w:val="24"/>
          <w:szCs w:val="24"/>
          <w:lang w:val="es-CO"/>
        </w:rPr>
        <w:t xml:space="preserve">. La estampilla Pro-Hospital ($741.748) y la Tasa Prodeporte ($927.185) se liquidaron sobre la base excluida de IVA. La entidad entiende que el contrato está excluido de estampillas por el artículo 340, numeral 4, de la Ordenanza 018 de 2025 </w:t>
      </w:r>
      <w:r>
        <w:rPr>
          <w:rFonts w:ascii="Times New Roman" w:eastAsia="Arial" w:hAnsi="Times New Roman" w:cs="Times New Roman"/>
          <w:highlight w:val="yellow"/>
          <w:sz w:val="24"/>
          <w:szCs w:val="24"/>
          <w:lang w:val="es-CO"/>
        </w:rPr>
        <w:t xml:space="preserve">verificar si la tasa tiene exclusión propia</w:t>
      </w:r>
      <w:r>
        <w:rPr>
          <w:rFonts w:ascii="Times New Roman" w:eastAsia="Arial" w:hAnsi="Times New Roman" w:cs="Times New Roman"/>
          <w:sz w:val="24"/>
          <w:szCs w:val="24"/>
          <w:lang w:val="es-CO"/>
        </w:rPr>
        <w:t xml:space="preserve">; somete esta interpretación al equipo auditor, pedirá concepto a la Secretaría de Hacienda y, según el resultado, reintegrará a la cooperativa o trasladará al Departamento las diferencias </w:t>
      </w:r>
      <w:r>
        <w:rPr>
          <w:rFonts w:ascii="Times New Roman" w:eastAsia="Arial" w:hAnsi="Times New Roman" w:cs="Times New Roman"/>
          <w:highlight w:val="yellow"/>
          <w:sz w:val="24"/>
          <w:szCs w:val="24"/>
          <w:lang w:val="es-CO"/>
        </w:rPr>
        <w:t xml:space="preserve">indicar si los valores ya fueron trasladados</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f)</w:t>
        <w:tab/>
      </w:r>
      <w:r>
        <w:rPr>
          <w:rFonts w:ascii="Times New Roman" w:eastAsia="Arial" w:hAnsi="Times New Roman" w:cs="Times New Roman"/>
          <w:sz w:val="24"/>
          <w:szCs w:val="24"/>
          <w:lang w:val="es-CO"/>
        </w:rPr>
        <w:t xml:space="preserve">Facturas y comprobantes de entrada. Se anexan las quince facturas FVE-124898 a FVE-125023 y los comprobantes FCF-1064 a FCF-1078, por $39.998.124 en total, detallados en la comunicación del 5 de octubre de 2026. "FVE1224926" es un error tipográfico por FVE-124926, corregido en el acta aclaratoria. </w:t>
      </w:r>
      <w:r>
        <w:rPr>
          <w:rFonts w:ascii="Times New Roman" w:eastAsia="Arial" w:hAnsi="Times New Roman" w:cs="Times New Roman"/>
          <w:highlight w:val="yellow"/>
          <w:sz w:val="24"/>
          <w:szCs w:val="24"/>
          <w:lang w:val="es-CO"/>
        </w:rPr>
        <w:t xml:space="preserve">Si se anexan los comprobantes, advertir el ajuste del FCF-1076 y la fecha del FCF-1070.</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w:t>
        <w:tab/>
      </w:r>
      <w:r>
        <w:rPr>
          <w:rFonts w:ascii="Times New Roman" w:eastAsia="Arial" w:hAnsi="Times New Roman" w:cs="Times New Roman"/>
          <w:sz w:val="24"/>
          <w:szCs w:val="24"/>
          <w:lang w:val="es-CO"/>
        </w:rPr>
        <w:t xml:space="preserve">Informes de actividades y de supervisión; seguridad social. Los errores del formato de supervisión se aclararon el 29 de septiembre (inicio 15 de diciembre; CDP 1586; RP 1585; valor $39.998.124; sede Gramalote). Se precisa que la acreditación de aportes sí aplica y se cumplió con la certificación del revisor fiscal del 1 de diciembre de 2025 y las planillas de noviembre y diciembre, que se anexan.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h)</w:t>
        <w:tab/>
      </w:r>
      <w:r>
        <w:rPr>
          <w:rFonts w:ascii="Times New Roman" w:eastAsia="Arial" w:hAnsi="Times New Roman" w:cs="Times New Roman"/>
          <w:sz w:val="24"/>
          <w:szCs w:val="24"/>
          <w:lang w:val="es-CO"/>
        </w:rPr>
        <w:t xml:space="preserve">Plazo. Veintiún días desde el 15 de diciembre de 2025; entregas el 15 y 16 de diciembre; recibo y liquidación el 30 de diciembre, dentro de la vigencia. Los "dieciséis días" del acta de liquidación son los días transcurridos, no el plazo pactado. El giro del 13 de enero de 2026 se hizo con cargo a las cuentas por pagar de la vigencia </w:t>
      </w:r>
      <w:r>
        <w:rPr>
          <w:rFonts w:ascii="Times New Roman" w:eastAsia="Arial" w:hAnsi="Times New Roman" w:cs="Times New Roman"/>
          <w:highlight w:val="yellow"/>
          <w:sz w:val="24"/>
          <w:szCs w:val="24"/>
          <w:lang w:val="es-CO"/>
        </w:rPr>
        <w:t xml:space="preserve">anexar relación; si no existe, suprimir</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i)</w:t>
        <w:tab/>
      </w:r>
      <w:r>
        <w:rPr>
          <w:rFonts w:ascii="Times New Roman" w:eastAsia="Arial" w:hAnsi="Times New Roman" w:cs="Times New Roman"/>
          <w:sz w:val="24"/>
          <w:szCs w:val="24"/>
          <w:lang w:val="es-CO"/>
        </w:rPr>
        <w:t xml:space="preserve">Referencias erróneas en los documentos de pago. Las citas a los contratos 1085 y 1052, al RP 1323, al CDP 1574 y al rubro 2.4.5.01.02.01 son residuos de plantilla corregidos por la fe de erratas. Los únicos del contrato son el CDP 1586, el RP 1585 y los rubros 2.4.5.01.04.02 y 2.4.5.01.04.03; el saldo liberado, $1.876, coincide con el acta de liquidación. Se anexa certificación financiera y presupuestal </w:t>
      </w:r>
      <w:r>
        <w:rPr>
          <w:rFonts w:ascii="Times New Roman" w:eastAsia="Arial" w:hAnsi="Times New Roman" w:cs="Times New Roman"/>
          <w:highlight w:val="yellow"/>
          <w:sz w:val="24"/>
          <w:szCs w:val="24"/>
          <w:lang w:val="es-CO"/>
        </w:rPr>
        <w:t xml:space="preserve">reexpedir con fecha de 2026 y sin la expresión "variación en la afectación entre subrubros"</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j)</w:t>
        <w:tab/>
      </w:r>
      <w:r>
        <w:rPr>
          <w:rFonts w:ascii="Times New Roman" w:eastAsia="Arial" w:hAnsi="Times New Roman" w:cs="Times New Roman"/>
          <w:sz w:val="24"/>
          <w:szCs w:val="24"/>
          <w:lang w:val="es-CO"/>
        </w:rPr>
        <w:t xml:space="preserve">Medicamentos e imputación entre rubros. Se recibieron Alacramyn (diez viales, $7.397.310), lactato de Ringer ($106.998) y agua estéril ($4.160), total $7.508.468, para el servicio de urgencias; ingresaron al almacén y se consumieron según los kardex. La causal del Manual que amparó la contratación comprende el suministro de medicamentos, de modo que proveedor y modalidad eran los mismos; no hay daño patrimonial y la deficiencia es que el objeto no los describió. Ningún rubro se excedió ($14.999.647 de $15.000.000 y $24.998.477 de $25.000.000), sin traslados; la entidad reconoce una deficiencia de clasificación por $4.368.205 de laboratorio cargados a material médico quirúrgico. Como mejora, los estudios previos delimitarán objeto y rubro por tipo de bien.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k)</w:t>
        <w:tab/>
      </w:r>
      <w:r>
        <w:rPr>
          <w:rFonts w:ascii="Times New Roman" w:eastAsia="Arial" w:hAnsi="Times New Roman" w:cs="Times New Roman"/>
          <w:sz w:val="24"/>
          <w:szCs w:val="24"/>
          <w:lang w:val="es-CO"/>
        </w:rPr>
        <w:t xml:space="preserve">Acta de recibo final y registro fotográfico. Se anexa el acta del 30 de diciembre de 2025, que relaciona todos los ítems por factura; sus residuos de formato se corrigen en el acta aclaratoria </w:t>
      </w:r>
      <w:r>
        <w:rPr>
          <w:rFonts w:ascii="Times New Roman" w:eastAsia="Arial" w:hAnsi="Times New Roman" w:cs="Times New Roman"/>
          <w:highlight w:val="yellow"/>
          <w:sz w:val="24"/>
          <w:szCs w:val="24"/>
          <w:lang w:val="es-CO"/>
        </w:rPr>
        <w:t xml:space="preserve">extenderla al acta de recibo final</w:t>
      </w:r>
      <w:r>
        <w:rPr>
          <w:rFonts w:ascii="Times New Roman" w:eastAsia="Arial" w:hAnsi="Times New Roman" w:cs="Times New Roman"/>
          <w:sz w:val="24"/>
          <w:szCs w:val="24"/>
          <w:lang w:val="es-CO"/>
        </w:rPr>
        <w:t xml:space="preserve">. </w:t>
      </w:r>
      <w:r>
        <w:rPr>
          <w:rFonts w:ascii="Times New Roman" w:eastAsia="Arial" w:hAnsi="Times New Roman" w:cs="Times New Roman"/>
          <w:highlight w:val="yellow"/>
          <w:sz w:val="24"/>
          <w:szCs w:val="24"/>
          <w:lang w:val="es-CO"/>
        </w:rPr>
        <w:t xml:space="preserve">Registro fotográfico: anexar si existe; si no, indicar que la entrega se acredita con ingresos, kardex y acta.</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3. Anexos</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1.</w:t>
        <w:tab/>
      </w:r>
      <w:r>
        <w:rPr>
          <w:rFonts w:ascii="Times New Roman" w:eastAsia="Arial" w:hAnsi="Times New Roman" w:cs="Times New Roman"/>
          <w:sz w:val="24"/>
          <w:szCs w:val="24"/>
          <w:lang w:val="es-CO"/>
        </w:rPr>
        <w:t xml:space="preserve">Acta aclaratoria al contrato y acta aclaratoria al acta de liquidación y de recibo final.</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2.</w:t>
        <w:tab/>
      </w:r>
      <w:r>
        <w:rPr>
          <w:rFonts w:ascii="Times New Roman" w:eastAsia="Arial" w:hAnsi="Times New Roman" w:cs="Times New Roman"/>
          <w:sz w:val="24"/>
          <w:szCs w:val="24"/>
          <w:lang w:val="es-CO"/>
        </w:rPr>
        <w:t xml:space="preserve">Comunicación y certificación sobre la Inconsistencia N° 8, con CDP N° 1586 y RP N° 1585.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3.</w:t>
        <w:tab/>
      </w:r>
      <w:r>
        <w:rPr>
          <w:rFonts w:ascii="Times New Roman" w:eastAsia="Arial" w:hAnsi="Times New Roman" w:cs="Times New Roman"/>
          <w:sz w:val="24"/>
          <w:szCs w:val="24"/>
          <w:lang w:val="es-CO"/>
        </w:rPr>
        <w:t xml:space="preserve">Certificación financiera y presupuestal de la Subgerente Administrativa y Financiera.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4.</w:t>
        <w:tab/>
      </w:r>
      <w:r>
        <w:rPr>
          <w:rFonts w:ascii="Times New Roman" w:eastAsia="Arial" w:hAnsi="Times New Roman" w:cs="Times New Roman"/>
          <w:sz w:val="24"/>
          <w:szCs w:val="24"/>
          <w:lang w:val="es-CO"/>
        </w:rPr>
        <w:t xml:space="preserve">Justificación técnica, asistencial y presupuestal, con los tres kardex.</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5.</w:t>
        <w:tab/>
      </w:r>
      <w:r>
        <w:rPr>
          <w:rFonts w:ascii="Times New Roman" w:eastAsia="Arial" w:hAnsi="Times New Roman" w:cs="Times New Roman"/>
          <w:sz w:val="24"/>
          <w:szCs w:val="24"/>
          <w:lang w:val="es-CO"/>
        </w:rPr>
        <w:t xml:space="preserve">Acta de recibo final del 30 de diciembre de 2025.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6.</w:t>
        <w:tab/>
      </w:r>
      <w:r>
        <w:rPr>
          <w:rFonts w:ascii="Times New Roman" w:eastAsia="Arial" w:hAnsi="Times New Roman" w:cs="Times New Roman"/>
          <w:sz w:val="24"/>
          <w:szCs w:val="24"/>
          <w:lang w:val="es-CO"/>
        </w:rPr>
        <w:t xml:space="preserve">Garantía N° 4416662 y acta de aprobación.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7.</w:t>
        <w:tab/>
      </w:r>
      <w:r>
        <w:rPr>
          <w:rFonts w:ascii="Times New Roman" w:eastAsia="Arial" w:hAnsi="Times New Roman" w:cs="Times New Roman"/>
          <w:sz w:val="24"/>
          <w:szCs w:val="24"/>
          <w:lang w:val="es-CO"/>
        </w:rPr>
        <w:t xml:space="preserve">Quince facturas FVE y quince comprobantes de ingreso FCF-1064 a FCF-1078.</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8.</w:t>
        <w:tab/>
      </w:r>
      <w:r>
        <w:rPr>
          <w:rFonts w:ascii="Times New Roman" w:eastAsia="Arial" w:hAnsi="Times New Roman" w:cs="Times New Roman"/>
          <w:sz w:val="24"/>
          <w:szCs w:val="24"/>
          <w:lang w:val="es-CO"/>
        </w:rPr>
        <w:t xml:space="preserve">Certificación del revisor fiscal de COHOSAN y planillas de noviembre y diciembre de 2025.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9.</w:t>
        <w:tab/>
      </w:r>
      <w:r>
        <w:rPr>
          <w:rFonts w:ascii="Times New Roman" w:eastAsia="Arial" w:hAnsi="Times New Roman" w:cs="Times New Roman"/>
          <w:sz w:val="24"/>
          <w:szCs w:val="24"/>
          <w:lang w:val="es-CO"/>
        </w:rPr>
        <w:t xml:space="preserve">Comunicación del 5 de octubre de 2026 sobre el egreso CE-10343, con el comprobante y la fe de erratas.</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10.</w:t>
        <w:tab/>
      </w:r>
      <w:r>
        <w:rPr>
          <w:rFonts w:ascii="Times New Roman" w:eastAsia="Arial" w:hAnsi="Times New Roman" w:cs="Times New Roman"/>
          <w:sz w:val="24"/>
          <w:szCs w:val="24"/>
          <w:lang w:val="es-CO"/>
        </w:rPr>
        <w:t xml:space="preserve">Certificado de asociación, certificado de existencia y representación y RUT de COHOSAN.</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highlight w:val="yellow"/>
          <w:sz w:val="24"/>
          <w:szCs w:val="24"/>
          <w:lang w:val="es-CO"/>
        </w:rPr>
        <w:t xml:space="preserve">Nota de trabajo, retirar antes de radicar: los anexos 6, 7, 8 y 10 no están en la carpeta compartida; el 1 y el 3 deben corregirse y fecharse en 2026; el 2 debe depurarse (residuos "[cite]" y numeral 4).</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4. Consideración final</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Las observaciones recaen sobre aspectos formales de los documentos del expediente y sobre la descripción del objeto, no sobre el resultado de la gestión fiscal: los bienes fueron facturados, ingresaron al almacén, se recibieron a satisfacción y se consumieron en la prestación del servicio dentro de la vigencia; se pagó exactamente el valor recibido, $39.998.124, sin exceder ninguno de los dos rubros del registro presupuestal, y el saldo se liberó. No concurren, por tanto, el daño patrimonial ni la conducta dolosa o gravemente culposa que exige la responsabilidad fiscal (Ley 610 de 2000, artículo 5, modificado por el artículo 125 del Decreto Ley 403 de 2020). Las imprecisiones advertidas fueron identificadas y corregidas por la propia entidad durante el proceso auditor y antes del informe preliminar, y las que dependen de terceros, la corrección del formato de rendición y la definición de los descuentos departamentales, están en trámite en los términos indicados. La entidad solicita que esta gestión se valore como beneficio del control fiscal.</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5. Solicitud</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La entidad solicita respetuosamente tener por aclarada la Inconsistencia N° 8 y por atendidas las demás observaciones sobre el Contrato N° 1058 de 2025 o, en su defecto, calificarlas como de carácter administrativo para su inclusión en el plan de mejoramiento. Quedamos atentos a cualquier aclaración adicional.</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Atentamente,</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b/>
          <w:bCs/>
          <w:sz w:val="24"/>
          <w:szCs w:val="24"/>
          <w:lang w:val="es-CO"/>
        </w:rPr>
      </w:pPr>
      <w:r>
        <w:rPr>
          <w:rFonts w:ascii="Times New Roman" w:eastAsia="Arial" w:hAnsi="Times New Roman" w:cs="Times New Roman"/>
          <w:b/>
          <w:bCs/>
          <w:sz w:val="24"/>
          <w:szCs w:val="24"/>
          <w:lang w:val="es-CO"/>
        </w:rPr>
        <w:t xml:space="preserve">CLAUDIA BELÉN JULIO SEPÚLVEDA</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Gerente, E.S.E. Hospital Regional Centro</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Anexos: los relacionados en el numeral 3.</w:t>
      </w:r>
    </w:p>
    <w:p>
      <w:pPr>
        <w:spacing w:after="0"/>
      </w:pPr>
    </w:p>
    <w:tbl>
      <w:tblPr>
        <w:tblStyle w:val="Tablaconcuadrcula"/>
        <w:tblW w:w="5000" w:type="pct"/>
        <w:tblLook w:val="04A0" w:firstRow="1" w:lastRow="0" w:firstColumn="1" w:lastColumn="0" w:noHBand="0" w:noVBand="1"/>
      </w:tblPr>
      <w:tblGrid>
        <w:gridCol w:w="1036"/>
        <w:gridCol w:w="4854"/>
        <w:gridCol w:w="2938"/>
      </w:tblGrid>
      <w:tr w:rsidR="00CD0C5B" w:rsidRPr="00BB4C1B" w14:paraId="1055D3B5" w14:textId="77777777" w:rsidTr="00BB4C1B">
        <w:trPr>
          <w:trHeight w:val="283"/>
        </w:trPr>
        <w:tc>
          <w:tcPr>
            <w:tcW w:w="587" w:type="pct"/>
            <w:vAlign w:val="center"/>
          </w:tcPr>
          <w:p w14:paraId="18C3E441" w14:textId="77777777" w:rsidR="00CD0C5B" w:rsidRPr="00BB4C1B" w:rsidRDefault="00CD0C5B" w:rsidP="00015045">
            <w:pPr>
              <w:spacing w:after="0"/>
              <w:jc w:val="center"/>
              <w:rPr>
                <w:rFonts w:ascii="Times New Roman" w:hAnsi="Times New Roman" w:cs="Times New Roman"/>
                <w:kern w:val="2"/>
              </w:rPr>
            </w:pPr>
            <w:r>
              <w:rPr>
                <w:rFonts w:ascii="Times New Roman" w:hAnsi="Times New Roman" w:cs="Times New Roman"/>
                <w:kern w:val="2"/>
              </w:rPr>
              <w:t>Revisó:</w:t>
            </w:r>
          </w:p>
        </w:tc>
        <w:tc>
          <w:tcPr>
            <w:tcW w:w="2749" w:type="pct"/>
            <w:vAlign w:val="center"/>
          </w:tcPr>
          <w:p w14:paraId="2E184E28" w14:textId="73E84B4E" w:rsidR="00CD0C5B" w:rsidRPr="00BB4C1B" w:rsidRDefault="00BB4C1B" w:rsidP="00015045">
            <w:pPr>
              <w:spacing w:after="0"/>
              <w:jc w:val="left"/>
              <w:rPr>
                <w:rFonts w:ascii="Times New Roman" w:hAnsi="Times New Roman" w:cs="Times New Roman"/>
                <w:kern w:val="2"/>
              </w:rPr>
            </w:pPr>
            <w:r>
              <w:rPr>
                <w:rFonts w:ascii="Times New Roman" w:hAnsi="Times New Roman" w:cs="Times New Roman"/>
                <w:kern w:val="2"/>
              </w:rPr>
              <w:t>Natalia Angarita, Ramos Mejía &amp; Abogados S.A.S</w:t>
            </w:r>
          </w:p>
        </w:tc>
        <w:tc>
          <w:tcPr>
            <w:tcW w:w="1664" w:type="pct"/>
            <w:vAlign w:val="center"/>
          </w:tcPr>
          <w:p w14:paraId="757B2560" w14:textId="336622BF" w:rsidR="00CD0C5B" w:rsidRPr="00BB4C1B" w:rsidRDefault="00CD0C5B" w:rsidP="00015045">
            <w:pPr>
              <w:spacing w:after="0"/>
              <w:jc w:val="left"/>
              <w:rPr>
                <w:rFonts w:ascii="Times New Roman" w:hAnsi="Times New Roman" w:cs="Times New Roman"/>
                <w:kern w:val="2"/>
              </w:rPr>
            </w:pPr>
            <w:r>
              <w:rPr>
                <w:rFonts w:ascii="Times New Roman" w:hAnsi="Times New Roman" w:cs="Times New Roman"/>
                <w:kern w:val="2"/>
              </w:rPr>
              <w:t xml:space="preserve">Firma: </w:t>
            </w:r>
          </w:p>
        </w:tc>
      </w:tr>
    </w:tbl>
    <w:p>
      <w:pPr>
        <w:spacing w:after="0"/>
      </w:pPr>
    </w:p>
    <w:sectPr w:rsidR="00DE4070">
      <w:headerReference w:type="default" r:id="rId7"/>
      <w:foot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3B65F" w14:textId="77777777" w:rsidR="00102157" w:rsidRDefault="00102157">
      <w:r>
        <w:separator/>
      </w:r>
    </w:p>
  </w:endnote>
  <w:endnote w:type="continuationSeparator" w:id="0">
    <w:p w14:paraId="241B7C14" w14:textId="77777777" w:rsidR="00102157" w:rsidRDefault="001021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09BDC" w14:textId="77777777" w:rsidR="00DE4070" w:rsidRDefault="00000000">
    <w:pPr>
      <w:suppressAutoHyphens/>
      <w:spacing w:after="0"/>
      <w:ind w:right="360"/>
      <w:jc w:val="center"/>
      <w:rPr>
        <w:rFonts w:eastAsia="Times New Roman" w:cs="Times New Roman"/>
        <w:b/>
        <w:i/>
        <w:iCs/>
        <w:color w:val="000000"/>
        <w:sz w:val="20"/>
        <w:szCs w:val="20"/>
        <w:lang w:val="es-ES" w:eastAsia="es-ES"/>
      </w:rPr>
    </w:pPr>
    <w:r>
      <w:rPr>
        <w:rFonts w:eastAsia="Times New Roman" w:cs="Times New Roman"/>
        <w:b/>
        <w:i/>
        <w:iCs/>
        <w:color w:val="000000"/>
        <w:sz w:val="20"/>
        <w:szCs w:val="20"/>
        <w:lang w:val="es-ES" w:eastAsia="es-ES"/>
      </w:rPr>
      <w:t xml:space="preserve">"Unidos por una atención </w:t>
    </w:r>
    <w:proofErr w:type="gramStart"/>
    <w:r>
      <w:rPr>
        <w:rFonts w:eastAsia="Times New Roman" w:cs="Times New Roman"/>
        <w:b/>
        <w:i/>
        <w:iCs/>
        <w:color w:val="000000"/>
        <w:sz w:val="20"/>
        <w:szCs w:val="20"/>
        <w:lang w:val="es-ES" w:eastAsia="es-ES"/>
      </w:rPr>
      <w:t>más segura y más humana</w:t>
    </w:r>
    <w:proofErr w:type="gramEnd"/>
    <w:r>
      <w:rPr>
        <w:rFonts w:eastAsia="Times New Roman" w:cs="Times New Roman"/>
        <w:b/>
        <w:i/>
        <w:iCs/>
        <w:color w:val="000000"/>
        <w:sz w:val="20"/>
        <w:szCs w:val="20"/>
        <w:lang w:val="es-ES" w:eastAsia="es-ES"/>
      </w:rPr>
      <w:t>"</w:t>
    </w:r>
  </w:p>
  <w:p w14:paraId="62C8233B" w14:textId="77777777" w:rsidR="00DE4070" w:rsidRDefault="00000000">
    <w:pPr>
      <w:suppressAutoHyphens/>
      <w:spacing w:after="0"/>
      <w:ind w:right="360"/>
      <w:jc w:val="center"/>
      <w:rPr>
        <w:rFonts w:eastAsia="Times New Roman" w:cs="Times New Roman"/>
        <w:color w:val="000000"/>
        <w:sz w:val="18"/>
        <w:szCs w:val="18"/>
        <w:lang w:val="es-ES" w:eastAsia="es-ES"/>
      </w:rPr>
    </w:pPr>
    <w:r>
      <w:rPr>
        <w:rFonts w:eastAsia="Times New Roman" w:cs="Times New Roman"/>
        <w:color w:val="000000"/>
        <w:sz w:val="18"/>
        <w:szCs w:val="18"/>
        <w:lang w:val="es-ES" w:eastAsia="es-ES"/>
      </w:rPr>
      <w:t>KDX VDA, BARRIO MIRAFLOREZ, Cel.3118111189</w:t>
    </w:r>
  </w:p>
  <w:p w14:paraId="32FC863F" w14:textId="07455C00" w:rsidR="00DE4070" w:rsidRDefault="00173B02">
    <w:pPr>
      <w:tabs>
        <w:tab w:val="center" w:pos="4419"/>
        <w:tab w:val="right" w:pos="8838"/>
      </w:tabs>
      <w:suppressAutoHyphens/>
      <w:spacing w:after="0"/>
      <w:jc w:val="center"/>
      <w:rPr>
        <w:rFonts w:eastAsia="Arial" w:cs="Arial"/>
        <w:color w:val="000000"/>
        <w:sz w:val="18"/>
        <w:szCs w:val="18"/>
        <w:lang w:val="es-ES" w:eastAsia="es-ES"/>
      </w:rPr>
    </w:pPr>
    <w:hyperlink r:id="rId1" w:history="1">
      <w:r w:rsidRPr="009B58E2">
        <w:rPr>
          <w:rStyle w:val="Hipervnculo"/>
          <w:rFonts w:eastAsia="Arial" w:cs="Arial"/>
          <w:sz w:val="18"/>
          <w:szCs w:val="18"/>
          <w:lang w:val="es-ES" w:eastAsia="es-ES"/>
        </w:rPr>
        <w:t>secretariageneral@centroese.gov.co</w:t>
      </w:r>
    </w:hyperlink>
    <w:r>
      <w:rPr>
        <w:rFonts w:eastAsia="Arial" w:cs="Arial"/>
        <w:color w:val="000000"/>
        <w:sz w:val="18"/>
        <w:szCs w:val="18"/>
        <w:lang w:val="es-ES" w:eastAsia="es-ES"/>
      </w:rPr>
      <w:t xml:space="preserve"> – </w:t>
    </w:r>
    <w:hyperlink r:id="rId2" w:history="1">
      <w:r>
        <w:rPr>
          <w:rFonts w:eastAsia="Arial" w:cs="Arial"/>
          <w:color w:val="0563C1"/>
          <w:sz w:val="18"/>
          <w:szCs w:val="18"/>
          <w:u w:val="single"/>
          <w:lang w:val="es-ES" w:eastAsia="es-ES"/>
        </w:rPr>
        <w:t>www.esecentro.com</w:t>
      </w:r>
    </w:hyperlink>
    <w:r>
      <w:rPr>
        <w:rFonts w:eastAsia="Arial" w:cs="Arial"/>
        <w:color w:val="0563C1"/>
        <w:sz w:val="18"/>
        <w:szCs w:val="18"/>
        <w:u w:val="single"/>
        <w:lang w:val="es-ES" w:eastAsia="es-ES"/>
      </w:rPr>
      <w:t>.co</w:t>
    </w:r>
  </w:p>
  <w:p w14:paraId="1CB6E360" w14:textId="77777777" w:rsidR="00DE4070" w:rsidRDefault="00000000">
    <w:pPr>
      <w:tabs>
        <w:tab w:val="center" w:pos="4419"/>
        <w:tab w:val="right" w:pos="8838"/>
      </w:tabs>
      <w:suppressAutoHyphens/>
      <w:spacing w:after="0"/>
      <w:jc w:val="center"/>
      <w:rPr>
        <w:rFonts w:eastAsia="Arial" w:cs="Arial"/>
        <w:color w:val="000000"/>
        <w:sz w:val="18"/>
        <w:szCs w:val="18"/>
        <w:lang w:val="es-ES" w:eastAsia="es-ES"/>
      </w:rPr>
    </w:pPr>
    <w:r>
      <w:rPr>
        <w:rFonts w:eastAsia="Arial" w:cs="Arial"/>
        <w:color w:val="000000"/>
        <w:sz w:val="18"/>
        <w:szCs w:val="18"/>
        <w:lang w:val="es-ES" w:eastAsia="es-ES"/>
      </w:rPr>
      <w:t>Gramalote- Norte de Santander</w:t>
    </w:r>
  </w:p>
  <w:p w14:paraId="2F3D8E1A" w14:textId="77777777" w:rsidR="00DE4070" w:rsidRDefault="00DE407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627A6" w14:textId="77777777" w:rsidR="00102157" w:rsidRDefault="00102157">
      <w:pPr>
        <w:spacing w:after="0"/>
      </w:pPr>
      <w:r>
        <w:separator/>
      </w:r>
    </w:p>
  </w:footnote>
  <w:footnote w:type="continuationSeparator" w:id="0">
    <w:p w14:paraId="5AE79129" w14:textId="77777777" w:rsidR="00102157" w:rsidRDefault="00102157">
      <w:pPr>
        <w:spacing w:after="0"/>
      </w:pPr>
      <w:r>
        <w:continuationSeparator/>
      </w:r>
    </w:p>
  </w:footnote>
  <w:footnote w:id="1">
    <w:p>
      <w:pPr>
        <w:spacing w:after="0" w:line="240" w:lineRule="auto"/>
        <w:jc w:val="both"/>
        <w:rPr>
          <w:rFonts w:ascii="Times New Roman" w:eastAsia="Arial" w:hAnsi="Times New Roman" w:cs="Times New Roman"/>
          <w:sz w:val="18"/>
          <w:szCs w:val="18"/>
          <w:lang w:val="es-CO"/>
        </w:rPr>
      </w:pPr>
      <w:r>
        <w:rPr>
          <w:rFonts w:ascii="Times New Roman" w:eastAsia="Arial" w:hAnsi="Times New Roman" w:cs="Times New Roman"/>
          <w:vertAlign w:val="superscript"/>
          <w:sz w:val="18"/>
          <w:szCs w:val="18"/>
          <w:lang w:val="es-CO"/>
        </w:rPr>
        <w:footnoteRef/>
      </w:r>
      <w:r>
        <w:rPr>
          <w:rFonts w:ascii="Times New Roman" w:eastAsia="Arial" w:hAnsi="Times New Roman" w:cs="Times New Roman"/>
          <w:sz w:val="18"/>
          <w:szCs w:val="18"/>
          <w:lang w:val="es-CO"/>
        </w:rPr>
        <w:t xml:space="preserve"> </w:t>
      </w:r>
      <w:r>
        <w:rPr>
          <w:rFonts w:ascii="Times New Roman" w:eastAsia="Arial" w:hAnsi="Times New Roman" w:cs="Times New Roman"/>
          <w:sz w:val="18"/>
          <w:szCs w:val="18"/>
          <w:lang w:val="es-CO"/>
        </w:rPr>
        <w:t xml:space="preserve">Ley 100 de 1993, artículo 195, numeral 6, y Ley 1150 de 2007, artículo 13. La asociación de las Empresas Sociales del Estado en cooperativas para sus compras está autorizada por el artículo 76 de la Ley 1438 de 2011.</w:t>
      </w:r>
    </w:p>
  </w:footnote>
  <w:footnote w:id="2">
    <w:p>
      <w:pPr>
        <w:spacing w:after="0" w:line="240" w:lineRule="auto"/>
        <w:jc w:val="both"/>
        <w:rPr>
          <w:rFonts w:ascii="Times New Roman" w:eastAsia="Arial" w:hAnsi="Times New Roman" w:cs="Times New Roman"/>
          <w:sz w:val="18"/>
          <w:szCs w:val="18"/>
          <w:lang w:val="es-CO"/>
        </w:rPr>
      </w:pPr>
      <w:r>
        <w:rPr>
          <w:rFonts w:ascii="Times New Roman" w:eastAsia="Arial" w:hAnsi="Times New Roman" w:cs="Times New Roman"/>
          <w:vertAlign w:val="superscript"/>
          <w:sz w:val="18"/>
          <w:szCs w:val="18"/>
          <w:lang w:val="es-CO"/>
        </w:rPr>
        <w:footnoteRef/>
      </w:r>
      <w:r>
        <w:rPr>
          <w:rFonts w:ascii="Times New Roman" w:eastAsia="Arial" w:hAnsi="Times New Roman" w:cs="Times New Roman"/>
          <w:sz w:val="18"/>
          <w:szCs w:val="18"/>
          <w:lang w:val="es-CO"/>
        </w:rPr>
        <w:t xml:space="preserve"> </w:t>
      </w:r>
      <w:r>
        <w:rPr>
          <w:rFonts w:ascii="Times New Roman" w:eastAsia="Arial" w:hAnsi="Times New Roman" w:cs="Times New Roman"/>
          <w:sz w:val="18"/>
          <w:szCs w:val="18"/>
          <w:lang w:val="es-CO"/>
        </w:rPr>
        <w:t xml:space="preserve">Ley 789 de 2002, artículo 50, y Ley 1150 de 2007, artículo 23.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377"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4A0" w:firstRow="1" w:lastRow="0" w:firstColumn="1" w:lastColumn="0" w:noHBand="0" w:noVBand="1"/>
    </w:tblPr>
    <w:tblGrid>
      <w:gridCol w:w="1196"/>
      <w:gridCol w:w="4568"/>
      <w:gridCol w:w="2032"/>
      <w:gridCol w:w="1698"/>
    </w:tblGrid>
    <w:tr w:rsidR="00DE4070" w14:paraId="26545AFC" w14:textId="77777777">
      <w:trPr>
        <w:trHeight w:val="60"/>
        <w:jc w:val="center"/>
      </w:trPr>
      <w:tc>
        <w:tcPr>
          <w:tcW w:w="654" w:type="pct"/>
          <w:vMerge w:val="restart"/>
        </w:tcPr>
        <w:p w14:paraId="15A0E886" w14:textId="77777777" w:rsidR="00DE4070" w:rsidRDefault="00000000">
          <w:pPr>
            <w:tabs>
              <w:tab w:val="center" w:pos="4252"/>
              <w:tab w:val="right" w:pos="8504"/>
            </w:tabs>
            <w:spacing w:after="0"/>
            <w:ind w:hanging="2"/>
            <w:jc w:val="center"/>
            <w:rPr>
              <w:color w:val="000000"/>
              <w:sz w:val="20"/>
              <w:szCs w:val="20"/>
            </w:rPr>
          </w:pPr>
          <w:r>
            <w:rPr>
              <w:noProof/>
              <w:sz w:val="20"/>
              <w:szCs w:val="20"/>
              <w:lang w:eastAsia="es-CO"/>
            </w:rPr>
            <w:drawing>
              <wp:anchor distT="0" distB="0" distL="114300" distR="114300" simplePos="0" relativeHeight="251659264" behindDoc="1" locked="0" layoutInCell="1" allowOverlap="1" wp14:anchorId="32F87063" wp14:editId="7FFC54DC">
                <wp:simplePos x="0" y="0"/>
                <wp:positionH relativeFrom="column">
                  <wp:posOffset>7620</wp:posOffset>
                </wp:positionH>
                <wp:positionV relativeFrom="paragraph">
                  <wp:posOffset>20320</wp:posOffset>
                </wp:positionV>
                <wp:extent cx="695325" cy="533400"/>
                <wp:effectExtent l="0" t="0" r="9525" b="0"/>
                <wp:wrapNone/>
                <wp:docPr id="4" name="Imagen 3"/>
                <wp:cNvGraphicFramePr/>
                <a:graphic xmlns:a="http://schemas.openxmlformats.org/drawingml/2006/main">
                  <a:graphicData uri="http://schemas.openxmlformats.org/drawingml/2006/picture">
                    <pic:pic xmlns:pic="http://schemas.openxmlformats.org/drawingml/2006/picture">
                      <pic:nvPicPr>
                        <pic:cNvPr id="4" name="Imagen 3"/>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95325" cy="533400"/>
                        </a:xfrm>
                        <a:prstGeom prst="rect">
                          <a:avLst/>
                        </a:prstGeom>
                        <a:noFill/>
                        <a:ln>
                          <a:noFill/>
                        </a:ln>
                      </pic:spPr>
                    </pic:pic>
                  </a:graphicData>
                </a:graphic>
              </wp:anchor>
            </w:drawing>
          </w:r>
        </w:p>
      </w:tc>
      <w:tc>
        <w:tcPr>
          <w:tcW w:w="2430" w:type="pct"/>
          <w:vMerge w:val="restart"/>
          <w:vAlign w:val="center"/>
        </w:tcPr>
        <w:p w14:paraId="5905158D" w14:textId="77777777" w:rsidR="00DE4070" w:rsidRDefault="00000000">
          <w:pPr>
            <w:tabs>
              <w:tab w:val="center" w:pos="4252"/>
              <w:tab w:val="right" w:pos="8504"/>
            </w:tabs>
            <w:spacing w:after="0"/>
            <w:ind w:hanging="2"/>
            <w:jc w:val="center"/>
            <w:rPr>
              <w:rFonts w:eastAsia="Arial" w:cs="Arial"/>
              <w:color w:val="000000"/>
              <w:sz w:val="20"/>
              <w:szCs w:val="20"/>
            </w:rPr>
          </w:pPr>
          <w:r>
            <w:rPr>
              <w:rFonts w:eastAsia="Arial" w:cs="Arial"/>
              <w:color w:val="000000"/>
              <w:sz w:val="20"/>
              <w:szCs w:val="20"/>
            </w:rPr>
            <w:t>COMUNICACIÓN EXTERNA</w:t>
          </w:r>
        </w:p>
      </w:tc>
      <w:tc>
        <w:tcPr>
          <w:tcW w:w="1094" w:type="pct"/>
          <w:vAlign w:val="center"/>
        </w:tcPr>
        <w:p w14:paraId="331896E5" w14:textId="77777777" w:rsidR="00DE4070" w:rsidRDefault="00000000">
          <w:pPr>
            <w:tabs>
              <w:tab w:val="center" w:pos="4252"/>
              <w:tab w:val="right" w:pos="8504"/>
            </w:tabs>
            <w:spacing w:after="0"/>
            <w:jc w:val="left"/>
            <w:rPr>
              <w:rFonts w:eastAsia="Calibri" w:cs="Arial"/>
              <w:color w:val="000000"/>
              <w:sz w:val="20"/>
              <w:szCs w:val="20"/>
            </w:rPr>
          </w:pPr>
          <w:r>
            <w:rPr>
              <w:rFonts w:eastAsia="Calibri" w:cs="Arial"/>
              <w:color w:val="000000"/>
              <w:sz w:val="20"/>
              <w:szCs w:val="20"/>
            </w:rPr>
            <w:t>Código: GCA-FO-02</w:t>
          </w:r>
        </w:p>
      </w:tc>
      <w:tc>
        <w:tcPr>
          <w:tcW w:w="822" w:type="pct"/>
          <w:vMerge w:val="restart"/>
        </w:tcPr>
        <w:p w14:paraId="51618C68" w14:textId="77777777" w:rsidR="00DE4070" w:rsidRDefault="00000000">
          <w:pPr>
            <w:tabs>
              <w:tab w:val="center" w:pos="4252"/>
              <w:tab w:val="right" w:pos="8504"/>
            </w:tabs>
            <w:spacing w:after="0"/>
            <w:ind w:hanging="2"/>
            <w:jc w:val="center"/>
            <w:rPr>
              <w:color w:val="000000"/>
              <w:sz w:val="20"/>
              <w:szCs w:val="20"/>
            </w:rPr>
          </w:pPr>
          <w:r>
            <w:rPr>
              <w:noProof/>
              <w:color w:val="000000"/>
              <w:sz w:val="20"/>
              <w:szCs w:val="20"/>
            </w:rPr>
            <w:drawing>
              <wp:inline distT="0" distB="0" distL="0" distR="0" wp14:anchorId="0E508665" wp14:editId="42407794">
                <wp:extent cx="987425" cy="600075"/>
                <wp:effectExtent l="0" t="0" r="3175" b="9525"/>
                <wp:docPr id="408041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041466" name="Imagen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87425" cy="600075"/>
                        </a:xfrm>
                        <a:prstGeom prst="rect">
                          <a:avLst/>
                        </a:prstGeom>
                        <a:noFill/>
                      </pic:spPr>
                    </pic:pic>
                  </a:graphicData>
                </a:graphic>
              </wp:inline>
            </w:drawing>
          </w:r>
        </w:p>
      </w:tc>
    </w:tr>
    <w:tr w:rsidR="00DE4070" w14:paraId="7FE72EE4" w14:textId="77777777">
      <w:tblPrEx>
        <w:tblCellMar>
          <w:left w:w="108" w:type="dxa"/>
          <w:right w:w="108" w:type="dxa"/>
        </w:tblCellMar>
      </w:tblPrEx>
      <w:trPr>
        <w:trHeight w:val="204"/>
        <w:jc w:val="center"/>
      </w:trPr>
      <w:tc>
        <w:tcPr>
          <w:tcW w:w="654" w:type="pct"/>
          <w:vMerge/>
        </w:tcPr>
        <w:p w14:paraId="0D3329ED" w14:textId="77777777" w:rsidR="00DE4070" w:rsidRDefault="00DE4070">
          <w:pPr>
            <w:widowControl w:val="0"/>
            <w:spacing w:after="0" w:line="276" w:lineRule="auto"/>
            <w:ind w:hanging="2"/>
            <w:rPr>
              <w:color w:val="000000"/>
              <w:sz w:val="20"/>
              <w:szCs w:val="20"/>
            </w:rPr>
          </w:pPr>
        </w:p>
      </w:tc>
      <w:tc>
        <w:tcPr>
          <w:tcW w:w="2430" w:type="pct"/>
          <w:vMerge/>
          <w:vAlign w:val="center"/>
        </w:tcPr>
        <w:p w14:paraId="7EDC1B4C" w14:textId="77777777" w:rsidR="00DE4070" w:rsidRDefault="00DE4070">
          <w:pPr>
            <w:widowControl w:val="0"/>
            <w:spacing w:after="0" w:line="276" w:lineRule="auto"/>
            <w:ind w:hanging="2"/>
            <w:rPr>
              <w:rFonts w:cs="Arial"/>
              <w:color w:val="000000"/>
              <w:sz w:val="20"/>
              <w:szCs w:val="20"/>
            </w:rPr>
          </w:pPr>
        </w:p>
      </w:tc>
      <w:tc>
        <w:tcPr>
          <w:tcW w:w="1094" w:type="pct"/>
          <w:vAlign w:val="center"/>
        </w:tcPr>
        <w:p w14:paraId="5D102745"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Versión: 2</w:t>
          </w:r>
        </w:p>
      </w:tc>
      <w:tc>
        <w:tcPr>
          <w:tcW w:w="822" w:type="pct"/>
          <w:vMerge/>
        </w:tcPr>
        <w:p w14:paraId="4FBF7B3A" w14:textId="77777777" w:rsidR="00DE4070" w:rsidRDefault="00DE4070">
          <w:pPr>
            <w:widowControl w:val="0"/>
            <w:spacing w:after="0" w:line="276" w:lineRule="auto"/>
            <w:ind w:hanging="2"/>
            <w:rPr>
              <w:rFonts w:ascii="Calibri" w:eastAsia="Calibri" w:hAnsi="Calibri" w:cs="Calibri"/>
              <w:color w:val="000000"/>
              <w:sz w:val="20"/>
              <w:szCs w:val="20"/>
            </w:rPr>
          </w:pPr>
        </w:p>
      </w:tc>
    </w:tr>
    <w:tr w:rsidR="00DE4070" w14:paraId="0AE592AC" w14:textId="77777777">
      <w:tblPrEx>
        <w:tblCellMar>
          <w:left w:w="108" w:type="dxa"/>
          <w:right w:w="108" w:type="dxa"/>
        </w:tblCellMar>
      </w:tblPrEx>
      <w:trPr>
        <w:trHeight w:val="60"/>
        <w:jc w:val="center"/>
      </w:trPr>
      <w:tc>
        <w:tcPr>
          <w:tcW w:w="654" w:type="pct"/>
          <w:vMerge/>
        </w:tcPr>
        <w:p w14:paraId="62FEE453" w14:textId="77777777" w:rsidR="00DE4070" w:rsidRDefault="00DE4070">
          <w:pPr>
            <w:widowControl w:val="0"/>
            <w:spacing w:after="0" w:line="276" w:lineRule="auto"/>
            <w:ind w:hanging="2"/>
            <w:rPr>
              <w:rFonts w:ascii="Calibri" w:eastAsia="Calibri" w:hAnsi="Calibri" w:cs="Calibri"/>
              <w:color w:val="000000"/>
              <w:sz w:val="20"/>
              <w:szCs w:val="20"/>
            </w:rPr>
          </w:pPr>
        </w:p>
      </w:tc>
      <w:tc>
        <w:tcPr>
          <w:tcW w:w="2430" w:type="pct"/>
          <w:vMerge w:val="restart"/>
          <w:vAlign w:val="center"/>
        </w:tcPr>
        <w:p w14:paraId="678A3BF6" w14:textId="77777777" w:rsidR="00DE4070" w:rsidRDefault="00000000">
          <w:pPr>
            <w:tabs>
              <w:tab w:val="center" w:pos="4252"/>
              <w:tab w:val="right" w:pos="8504"/>
            </w:tabs>
            <w:spacing w:after="0"/>
            <w:ind w:hanging="2"/>
            <w:jc w:val="center"/>
            <w:rPr>
              <w:rFonts w:cs="Arial"/>
              <w:color w:val="000000"/>
              <w:sz w:val="20"/>
              <w:szCs w:val="20"/>
            </w:rPr>
          </w:pPr>
          <w:r>
            <w:rPr>
              <w:rFonts w:cs="Arial"/>
              <w:color w:val="000000"/>
              <w:sz w:val="20"/>
              <w:szCs w:val="20"/>
            </w:rPr>
            <w:t>E.S.E HOSPITAL REGIONAL CENTRO</w:t>
          </w:r>
        </w:p>
      </w:tc>
      <w:tc>
        <w:tcPr>
          <w:tcW w:w="1094" w:type="pct"/>
          <w:vAlign w:val="center"/>
        </w:tcPr>
        <w:p w14:paraId="3D2B3737"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 xml:space="preserve">Fecha: </w:t>
          </w:r>
          <w:proofErr w:type="gramStart"/>
          <w:r>
            <w:rPr>
              <w:rFonts w:eastAsia="Calibri" w:cs="Arial"/>
              <w:color w:val="000000"/>
              <w:sz w:val="20"/>
              <w:szCs w:val="20"/>
            </w:rPr>
            <w:t>Agosto</w:t>
          </w:r>
          <w:proofErr w:type="gramEnd"/>
          <w:r>
            <w:rPr>
              <w:rFonts w:eastAsia="Calibri" w:cs="Arial"/>
              <w:color w:val="000000"/>
              <w:sz w:val="20"/>
              <w:szCs w:val="20"/>
            </w:rPr>
            <w:t xml:space="preserve"> 2024</w:t>
          </w:r>
        </w:p>
      </w:tc>
      <w:tc>
        <w:tcPr>
          <w:tcW w:w="822" w:type="pct"/>
          <w:vMerge/>
        </w:tcPr>
        <w:p w14:paraId="3DF21392" w14:textId="77777777" w:rsidR="00DE4070" w:rsidRDefault="00DE4070">
          <w:pPr>
            <w:widowControl w:val="0"/>
            <w:spacing w:after="0" w:line="276" w:lineRule="auto"/>
            <w:ind w:hanging="2"/>
            <w:rPr>
              <w:rFonts w:ascii="Calibri" w:eastAsia="Calibri" w:hAnsi="Calibri" w:cs="Calibri"/>
              <w:color w:val="000000"/>
              <w:sz w:val="20"/>
              <w:szCs w:val="20"/>
            </w:rPr>
          </w:pPr>
        </w:p>
      </w:tc>
    </w:tr>
    <w:tr w:rsidR="00DE4070" w14:paraId="55AB004C" w14:textId="77777777">
      <w:tblPrEx>
        <w:tblCellMar>
          <w:left w:w="108" w:type="dxa"/>
          <w:right w:w="108" w:type="dxa"/>
        </w:tblCellMar>
      </w:tblPrEx>
      <w:trPr>
        <w:trHeight w:val="60"/>
        <w:jc w:val="center"/>
      </w:trPr>
      <w:tc>
        <w:tcPr>
          <w:tcW w:w="654" w:type="pct"/>
          <w:vMerge/>
        </w:tcPr>
        <w:p w14:paraId="243880AA" w14:textId="77777777" w:rsidR="00DE4070" w:rsidRDefault="00DE4070">
          <w:pPr>
            <w:widowControl w:val="0"/>
            <w:spacing w:after="0" w:line="276" w:lineRule="auto"/>
            <w:ind w:hanging="2"/>
            <w:rPr>
              <w:rFonts w:ascii="Calibri" w:eastAsia="Calibri" w:hAnsi="Calibri" w:cs="Calibri"/>
              <w:color w:val="000000"/>
              <w:sz w:val="20"/>
              <w:szCs w:val="20"/>
            </w:rPr>
          </w:pPr>
        </w:p>
      </w:tc>
      <w:tc>
        <w:tcPr>
          <w:tcW w:w="2430" w:type="pct"/>
          <w:vMerge/>
          <w:vAlign w:val="center"/>
        </w:tcPr>
        <w:p w14:paraId="26ACCBBB" w14:textId="77777777" w:rsidR="00DE4070" w:rsidRDefault="00DE4070">
          <w:pPr>
            <w:widowControl w:val="0"/>
            <w:spacing w:after="0" w:line="276" w:lineRule="auto"/>
            <w:ind w:hanging="2"/>
            <w:rPr>
              <w:rFonts w:eastAsia="Calibri" w:cs="Arial"/>
              <w:color w:val="000000"/>
              <w:sz w:val="20"/>
              <w:szCs w:val="20"/>
            </w:rPr>
          </w:pPr>
        </w:p>
      </w:tc>
      <w:tc>
        <w:tcPr>
          <w:tcW w:w="1094" w:type="pct"/>
          <w:vAlign w:val="center"/>
        </w:tcPr>
        <w:p w14:paraId="4E1093D5"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Pag.:</w:t>
          </w:r>
          <w:r>
            <w:rPr>
              <w:rFonts w:eastAsia="Calibri" w:cs="Arial"/>
              <w:color w:val="000000"/>
              <w:sz w:val="20"/>
              <w:szCs w:val="20"/>
            </w:rPr>
            <w:fldChar w:fldCharType="begin"/>
          </w:r>
          <w:r>
            <w:rPr>
              <w:rFonts w:eastAsia="Calibri" w:cs="Arial"/>
              <w:color w:val="000000"/>
              <w:sz w:val="20"/>
              <w:szCs w:val="20"/>
            </w:rPr>
            <w:instrText>PAGE   \* MERGEFORMAT</w:instrText>
          </w:r>
          <w:r>
            <w:rPr>
              <w:rFonts w:eastAsia="Calibri" w:cs="Arial"/>
              <w:color w:val="000000"/>
              <w:sz w:val="20"/>
              <w:szCs w:val="20"/>
            </w:rPr>
            <w:fldChar w:fldCharType="separate"/>
          </w:r>
          <w:r>
            <w:rPr>
              <w:rFonts w:eastAsia="Calibri" w:cs="Arial"/>
              <w:color w:val="000000"/>
              <w:sz w:val="20"/>
              <w:szCs w:val="20"/>
            </w:rPr>
            <w:t>1</w:t>
          </w:r>
          <w:r>
            <w:rPr>
              <w:rFonts w:eastAsia="Calibri" w:cs="Arial"/>
              <w:color w:val="000000"/>
              <w:sz w:val="20"/>
              <w:szCs w:val="20"/>
            </w:rPr>
            <w:fldChar w:fldCharType="end"/>
          </w:r>
        </w:p>
      </w:tc>
      <w:tc>
        <w:tcPr>
          <w:tcW w:w="822" w:type="pct"/>
          <w:vMerge/>
        </w:tcPr>
        <w:p w14:paraId="6D04367B" w14:textId="77777777" w:rsidR="00DE4070" w:rsidRDefault="00DE4070">
          <w:pPr>
            <w:widowControl w:val="0"/>
            <w:spacing w:after="0" w:line="276" w:lineRule="auto"/>
            <w:ind w:hanging="2"/>
            <w:rPr>
              <w:rFonts w:ascii="Calibri" w:eastAsia="Calibri" w:hAnsi="Calibri" w:cs="Calibri"/>
              <w:color w:val="000000"/>
              <w:sz w:val="20"/>
              <w:szCs w:val="20"/>
            </w:rPr>
          </w:pPr>
        </w:p>
      </w:tc>
    </w:tr>
  </w:tbl>
  <w:p w14:paraId="1C3747F1" w14:textId="77777777" w:rsidR="00DE4070" w:rsidRDefault="00DE4070">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7C3"/>
    <w:rsid w:val="000563F6"/>
    <w:rsid w:val="00094768"/>
    <w:rsid w:val="00102157"/>
    <w:rsid w:val="00126A1F"/>
    <w:rsid w:val="00147C18"/>
    <w:rsid w:val="0015414C"/>
    <w:rsid w:val="00173B02"/>
    <w:rsid w:val="001E7C52"/>
    <w:rsid w:val="0023289C"/>
    <w:rsid w:val="002355C4"/>
    <w:rsid w:val="00242F16"/>
    <w:rsid w:val="00253C95"/>
    <w:rsid w:val="002B3A7A"/>
    <w:rsid w:val="003079BB"/>
    <w:rsid w:val="00323C18"/>
    <w:rsid w:val="003451F7"/>
    <w:rsid w:val="003915B3"/>
    <w:rsid w:val="003B5C75"/>
    <w:rsid w:val="003F311D"/>
    <w:rsid w:val="00405478"/>
    <w:rsid w:val="004705D9"/>
    <w:rsid w:val="00484C4D"/>
    <w:rsid w:val="004B3B04"/>
    <w:rsid w:val="004B6CD9"/>
    <w:rsid w:val="004D6A9D"/>
    <w:rsid w:val="004E0C35"/>
    <w:rsid w:val="004E19FB"/>
    <w:rsid w:val="005206D4"/>
    <w:rsid w:val="00524590"/>
    <w:rsid w:val="005A45A3"/>
    <w:rsid w:val="005B243F"/>
    <w:rsid w:val="005B6C48"/>
    <w:rsid w:val="005E6D37"/>
    <w:rsid w:val="005F4B01"/>
    <w:rsid w:val="005F79C5"/>
    <w:rsid w:val="00606C0A"/>
    <w:rsid w:val="00624A6C"/>
    <w:rsid w:val="00640A3A"/>
    <w:rsid w:val="0066029F"/>
    <w:rsid w:val="00665D08"/>
    <w:rsid w:val="006719F1"/>
    <w:rsid w:val="00696C3A"/>
    <w:rsid w:val="006B0744"/>
    <w:rsid w:val="006B4C97"/>
    <w:rsid w:val="006B6D79"/>
    <w:rsid w:val="00724999"/>
    <w:rsid w:val="007A1F0F"/>
    <w:rsid w:val="007E0CB5"/>
    <w:rsid w:val="007E371E"/>
    <w:rsid w:val="007E7A56"/>
    <w:rsid w:val="00801B92"/>
    <w:rsid w:val="008B160D"/>
    <w:rsid w:val="008B4C10"/>
    <w:rsid w:val="008C15A3"/>
    <w:rsid w:val="008C6F62"/>
    <w:rsid w:val="008D0AC6"/>
    <w:rsid w:val="008D6EEF"/>
    <w:rsid w:val="008E3B77"/>
    <w:rsid w:val="009332A9"/>
    <w:rsid w:val="0093332B"/>
    <w:rsid w:val="0093587C"/>
    <w:rsid w:val="00965F51"/>
    <w:rsid w:val="009905FE"/>
    <w:rsid w:val="009B45F7"/>
    <w:rsid w:val="009D67C3"/>
    <w:rsid w:val="009F23D5"/>
    <w:rsid w:val="00A018CA"/>
    <w:rsid w:val="00A03FD1"/>
    <w:rsid w:val="00A22772"/>
    <w:rsid w:val="00A52736"/>
    <w:rsid w:val="00A8053B"/>
    <w:rsid w:val="00A86C95"/>
    <w:rsid w:val="00AC02D5"/>
    <w:rsid w:val="00B13B7C"/>
    <w:rsid w:val="00B1420D"/>
    <w:rsid w:val="00B26974"/>
    <w:rsid w:val="00B777DB"/>
    <w:rsid w:val="00B97CA8"/>
    <w:rsid w:val="00BB4C1B"/>
    <w:rsid w:val="00BC1594"/>
    <w:rsid w:val="00BD50D1"/>
    <w:rsid w:val="00BF10B0"/>
    <w:rsid w:val="00C64230"/>
    <w:rsid w:val="00C947D6"/>
    <w:rsid w:val="00C95256"/>
    <w:rsid w:val="00CA3F01"/>
    <w:rsid w:val="00CB786B"/>
    <w:rsid w:val="00CC5003"/>
    <w:rsid w:val="00CC67F9"/>
    <w:rsid w:val="00CD0C5B"/>
    <w:rsid w:val="00CE1A9C"/>
    <w:rsid w:val="00CE37F7"/>
    <w:rsid w:val="00CF66EB"/>
    <w:rsid w:val="00D47E14"/>
    <w:rsid w:val="00D51A48"/>
    <w:rsid w:val="00D52CA1"/>
    <w:rsid w:val="00D92C91"/>
    <w:rsid w:val="00DA588F"/>
    <w:rsid w:val="00DB3A8F"/>
    <w:rsid w:val="00DD5FDD"/>
    <w:rsid w:val="00DE4070"/>
    <w:rsid w:val="00E06441"/>
    <w:rsid w:val="00E332F4"/>
    <w:rsid w:val="00E3577F"/>
    <w:rsid w:val="00E55AD1"/>
    <w:rsid w:val="00E8158D"/>
    <w:rsid w:val="00EC6E60"/>
    <w:rsid w:val="00ED2745"/>
    <w:rsid w:val="00EF6B23"/>
    <w:rsid w:val="00F0434F"/>
    <w:rsid w:val="00F055D9"/>
    <w:rsid w:val="00F1071B"/>
    <w:rsid w:val="00F37E90"/>
    <w:rsid w:val="00F5680A"/>
    <w:rsid w:val="00F816BF"/>
    <w:rsid w:val="00FE02F1"/>
    <w:rsid w:val="00FE208F"/>
    <w:rsid w:val="00FE6103"/>
    <w:rsid w:val="00FE6BD7"/>
    <w:rsid w:val="4D215D21"/>
    <w:rsid w:val="667D3839"/>
    <w:rsid w:val="6B162CBB"/>
    <w:rsid w:val="7890750C"/>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F9402"/>
  <w15:docId w15:val="{597F8497-119D-4292-BF40-B9CC1EEA0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jc w:val="both"/>
    </w:pPr>
    <w:rPr>
      <w:rFonts w:ascii="Arial" w:hAnsi="Arial"/>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fasis">
    <w:name w:val="Emphasis"/>
    <w:uiPriority w:val="20"/>
    <w:qFormat/>
    <w:rPr>
      <w:i/>
      <w:iCs/>
    </w:rPr>
  </w:style>
  <w:style w:type="character" w:styleId="Hipervnculo">
    <w:name w:val="Hyperlink"/>
    <w:rPr>
      <w:color w:val="0000FF"/>
      <w:u w:val="single"/>
    </w:rPr>
  </w:style>
  <w:style w:type="paragraph" w:styleId="Textodeglobo">
    <w:name w:val="Balloon Text"/>
    <w:basedOn w:val="Normal"/>
    <w:link w:val="TextodegloboCar"/>
    <w:uiPriority w:val="99"/>
    <w:semiHidden/>
    <w:unhideWhenUsed/>
    <w:qFormat/>
    <w:pPr>
      <w:spacing w:after="0"/>
    </w:pPr>
    <w:rPr>
      <w:rFonts w:ascii="Segoe UI" w:hAnsi="Segoe UI" w:cs="Segoe UI"/>
      <w:sz w:val="18"/>
      <w:szCs w:val="18"/>
    </w:rPr>
  </w:style>
  <w:style w:type="paragraph" w:styleId="Encabezado">
    <w:name w:val="header"/>
    <w:basedOn w:val="Normal"/>
    <w:link w:val="EncabezadoCar"/>
    <w:uiPriority w:val="99"/>
    <w:unhideWhenUsed/>
    <w:qFormat/>
    <w:pPr>
      <w:tabs>
        <w:tab w:val="center" w:pos="4419"/>
        <w:tab w:val="right" w:pos="8838"/>
      </w:tabs>
      <w:spacing w:after="0"/>
    </w:pPr>
  </w:style>
  <w:style w:type="paragraph" w:styleId="Piedepgina">
    <w:name w:val="footer"/>
    <w:basedOn w:val="Normal"/>
    <w:link w:val="PiedepginaCar"/>
    <w:uiPriority w:val="99"/>
    <w:unhideWhenUsed/>
    <w:qFormat/>
    <w:pPr>
      <w:tabs>
        <w:tab w:val="center" w:pos="4419"/>
        <w:tab w:val="right" w:pos="8838"/>
      </w:tabs>
      <w:spacing w:after="0"/>
    </w:p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cabezadoCar">
    <w:name w:val="Encabezado Car"/>
    <w:basedOn w:val="Fuentedeprrafopredeter"/>
    <w:link w:val="Encabezado"/>
    <w:uiPriority w:val="99"/>
  </w:style>
  <w:style w:type="character" w:customStyle="1" w:styleId="PiedepginaCar">
    <w:name w:val="Pie de página Car"/>
    <w:basedOn w:val="Fuentedeprrafopredeter"/>
    <w:link w:val="Piedepgina"/>
    <w:uiPriority w:val="99"/>
    <w:qFormat/>
  </w:style>
  <w:style w:type="character" w:customStyle="1" w:styleId="TextodegloboCar">
    <w:name w:val="Texto de globo Car"/>
    <w:basedOn w:val="Fuentedeprrafopredeter"/>
    <w:link w:val="Textodeglobo"/>
    <w:uiPriority w:val="99"/>
    <w:semiHidden/>
    <w:qFormat/>
    <w:rPr>
      <w:rFonts w:ascii="Segoe UI" w:hAnsi="Segoe UI" w:cs="Segoe UI"/>
      <w:sz w:val="18"/>
      <w:szCs w:val="18"/>
    </w:rPr>
  </w:style>
  <w:style w:type="paragraph" w:styleId="Prrafodelista">
    <w:name w:val="List Paragraph"/>
    <w:basedOn w:val="Normal"/>
    <w:link w:val="PrrafodelistaCar"/>
    <w:uiPriority w:val="34"/>
    <w:qFormat/>
    <w:pPr>
      <w:ind w:left="720"/>
      <w:contextualSpacing/>
    </w:pPr>
  </w:style>
  <w:style w:type="character" w:customStyle="1" w:styleId="PrrafodelistaCar">
    <w:name w:val="Párrafo de lista Car"/>
    <w:link w:val="Prrafodelista"/>
    <w:uiPriority w:val="34"/>
    <w:qFormat/>
    <w:rPr>
      <w:rFonts w:ascii="Arial" w:hAnsi="Arial"/>
    </w:rPr>
  </w:style>
  <w:style w:type="character" w:customStyle="1" w:styleId="Mencinsinresolver1">
    <w:name w:val="Mención sin resolver1"/>
    <w:basedOn w:val="Fuentedeprrafopredeter"/>
    <w:uiPriority w:val="99"/>
    <w:semiHidden/>
    <w:unhideWhenUsed/>
    <w:rPr>
      <w:color w:val="605E5C"/>
      <w:shd w:val="clear" w:color="auto" w:fill="E1DFDD"/>
    </w:rPr>
  </w:style>
  <w:style w:type="paragraph" w:styleId="Sinespaciado">
    <w:name w:val="No Spacing"/>
    <w:uiPriority w:val="1"/>
    <w:qFormat/>
    <w:rPr>
      <w:sz w:val="22"/>
      <w:szCs w:val="22"/>
      <w:lang w:eastAsia="en-US"/>
    </w:rPr>
  </w:style>
  <w:style w:type="character" w:styleId="Mencinsinresolver">
    <w:name w:val="Unresolved Mention"/>
    <w:basedOn w:val="Fuentedeprrafopredeter"/>
    <w:uiPriority w:val="99"/>
    <w:semiHidden/>
    <w:unhideWhenUsed/>
    <w:rsid w:val="00173B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hyperlink" Target="http://www.esecentro.com" TargetMode="External"/><Relationship Id="rId1" Type="http://schemas.openxmlformats.org/officeDocument/2006/relationships/hyperlink" Target="mailto:secretariageneral@centroese.gov.co"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250</Words>
  <Characters>1381</Characters>
  <Application>Microsoft Office Word</Application>
  <DocSecurity>0</DocSecurity>
  <Lines>11</Lines>
  <Paragraphs>3</Paragraphs>
  <ScaleCrop>false</ScaleCrop>
  <Company/>
  <LinksUpToDate>false</LinksUpToDate>
  <CharactersWithSpaces>1628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Cindy Patiño Flórez</dc:creator>
  <cp:lastModifiedBy>Natalia Angarita</cp:lastModifiedBy>
  <cp:revision>2</cp:revision>
  <cp:lastPrinted>2021-03-08T19:29:00Z</cp:lastPrinted>
  <dcterms:created xsi:type="dcterms:W3CDTF">2026-10-06T22:41:00Z</dcterms:created>
  <dcterms:modified xsi:type="dcterms:W3CDTF">2026-10-06T22:41:00Z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2058-12.2.0.21931</vt:lpwstr>
  </property>
  <property fmtid="{D5CDD505-2E9C-101B-9397-08002B2CF9AE}" pid="3" name="ICV">
    <vt:lpwstr>81F5C677738245DEBB240246E264F419_12</vt:lpwstr>
  </property>
</Properties>
</file>