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Gramalote, 7 de octubre de 2026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Señores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CONTRALORÍA GENERAL DEL DEPARTAMENTO NORTE DE SANTANDER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Atención: doctora Gloria Esperanza Vera Castillo, Profesional Universitario, Auditora designada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San José de Cúcuta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Asunto: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Respuesta al requerimiento del 1 de octubre de 2026 y remisión de soportes del Contrato de Suministro N° 983 de 2025.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Referencia: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Auditoría Financiera de Gestión y Resultados Abreviada, vigencia 2025. Radicado N° 20262010017741 del 18 de agosto de 2026.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Cordial saludo.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En atención al requerimiento del 1 de octubre de 2026 y a su alcance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fecha y radicado del oficio de alcance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, y dentro del término solicitado el 2 de octubre de 2026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citar radicado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, la E.S.E. Hospital Regional Centro responde las observaciones sobre el Contrato de Suministro N° 983 de 2025 y remite los soportes que las acreditan. Esta comunicación complementa la respuesta del 29 de septiembre de 2026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citar radicado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 Las respuestas de los contratos 1058 y 1056 de 2025 se radican por separado 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1. Antecedentes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El contrato tuvo por objeto la dotación informática de los Equipos Básicos en Salud de Gramalote, Salazar, Arboledas, Lourdes y Villa Caro, con recursos de la Resolución 877 de 2025. Se celebró con la señora Chiquinquirá Contreras Rodríguez, C.C. 60.371.860, propietaria de System Salud, por $46.321.300 IVA incluido, mediante invitación privada de mínima cuantía N° 017 de 2025, con CDP N° 1329 del 3 de octubre de 2025 y RP N°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número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del 7 de octubre de 2025. Acta de inicio del 9 de octubre de 2025, plazo de un mes; factura FE-2920 del 17 de octubre; ingreso a almacén FCAF-53 del 20 de octubre; acta de recibo final del 31 de octubre de 2025; pago único y liquidación. La E.S.E. contrata bajo el derecho privado y su Manual de Contratación (Resolución 002 de 2023 y sus modificaciones).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2. Respuesta a las observaciones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Modalidad y soportes del proceso. El contrato se adelantó por mínima cuantía mediante la invitación privada N° 017 de 2025; se recibió y evaluó una sola propuesta. La casilla "SIN OFERTAS" del formato de rendición es un error de diligenciamiento; se solicita al equipo auditor indicar el procedimiento para corregirlo. Se anexan invitación, propuesta, acta de cierre, informe de evaluación y constancia de traslado.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b)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Estudio previo. La mención a la contratación directa y el valor de $46.504.850 son residuos de plantilla. La modalidad fue mínima cuantía y el valor contratado, $46.321.300, es el de la única propuesta, inferior al presupuesto estimado y respaldado por el CDP 1329.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Invitación anterior al CDP. La invitación no comprometió recursos; el compromiso nació con el contrato, ya expedidos el CDP (3 de octubre) y el RP (7 de octubre de 2025). La entidad acoge como acción de mejora expedir el CDP antes de abrir la invitación.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d)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Cierre y evaluación sin fecha. Cierre el 1 de octubre de 2025; evaluación y comunicación a la proponente el 2 de octubre; traslado sin observaciones el 3 de octubre. Se anexa la constancia de recibo, traslado y manifestación sobre el informe de evaluación, suscrita por la proponente y por el líder de contratación.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La constancia está fechada el 3 de octubre de 2025 pero el archivo PDF se generó el 5 de octubre de 2026. Si fue elaborada ahora, debe llevar la fecha actual y presentarse como certificación de hechos ocurridos el 2 y 3 de octubre de 2025; un documento con fecha anterior a su elaboración expone a la Gerente y a los firmantes a un riesgo penal y disciplinario mayor que la observación que subsana.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Los formatos se ajustarán para consignar fecha en cada etapa.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Plazo y rubro del formato de rendición. El plazo fue de un mes desde el acta de inicio (9 de octubre a 8 de noviembre de 2025). Las fechas y el rubro del formato son errores de diligenciamiento ya reconocidos el 29 de septiembre; los rubros reales son 2.1.2.01.01.003.03.11 a 2.1.2.01.01.003.03.20. Se solicita indicar el mecanismo de corrección.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Supervisión. La ejerció una sola funcionaria, la doctora Yolima Beltrán Santander, Subdirectora Científica, designada el 7 de octubre de 2025. El cargo distinto que registran el contrato y el formato es un error de plantilla. Se anexa la designación.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Nombre de la contratista. El segundo apellido correcto es Rodríguez, como consta en la póliza, el RP, el egreso y el formato de rendición. La cédula coincide en todos los documentos.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h)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CDP citado en el contrato. "1239" es una transposición de "1329", único CDP del contrato.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Informe de actividades y certificación posteriores al egreso. El pago (egreso N°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número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del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fecha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) se soportó en la factura, el ingreso a almacén y el acta de recibo final del 31 de octubre de 2025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confirmar que el acta es anterior al egreso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 El informe de actividades y el formato de supervisión se incorporaron después; la entidad los exigirá como requisito previo de pago. Se anexa la relación de equipos con marca, modelo, serial y sede de destino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y registro fotográfico, si existe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j)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Formato de supervisión. El correo registrado no era el de la contratista y fue corregido con el formato complementario del 5 de octubre de 2026. Se usó la plantilla de prestación de servicios; la entidad adoptará un formato propio para suministros.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La solicitud del 2 de octubre y la constancia del 5 de octubre de 2026 dicen "señor Chinquinquira" y "Contrato de Prestación de Servicios": corregirlas antes de anexarlas, porque repiten el error que aquí se explica.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k)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Estampillas. Solo se descontó la Estampilla Pro-Hospital Erasmo Meoz ($879.800). La entidad reconoció el 5 de octubre de 2026 que la liquidación fue incompleta: verificará con la Secretaría de Hacienda departamental el estatuto vigente en la fecha del hecho generador (Pro-Cultura, Pro-Adulto Mayor, Pro-UFPS y Tasa Prodeporte) y liquidará y trasladará los valores que resulten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indicar quién asume los valores y el plazo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l)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Garantía. Se anexa la póliza N° 460-47-994000091804 de Aseguradora Solidaria, del 9 de octubre de 2025, con amparos de cumplimiento y calidad del bien por $4.632.130 cada uno y vigencia del 7 de octubre de 2025 al 7 de mayo de 2026, junto con el acta de aprobación del 9 de octubre de 2025, en la que el número de la póliza y la denominación del amparo de calidad presentan errores de transcripción que no afectan la identificación de la garantía. La póliza de responsabilidad civil extracontractual fue remitida con anterioridad.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3. Anexos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Estudio previo.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2.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Invitación privada N° 017 de 2025, propuesta, acta de cierre e informe de evaluación.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3.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Constancia de recibo, traslado y manifestación sobre el informe de evaluación.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4.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Respuesta técnica, jurídica y subsanación definitiva suscrita por la Gerente y la supervisora.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Antes de anexarla, ajustar cuatro menciones que contradicen este oficio: cita el artículo 34 del Manual y el artículo 24 de la Ley 80 de 1993, inaplicable a la E.S.E.; habla de pluralidad de oferentes cuando hubo una sola propuesta; y fecha la suscripción del contrato el 9 de octubre de 2025, cuando la póliza, el formato de supervisión y el RP indican el 7 de octubre. Si no se ajusta, es preferible no anexarla: este oficio es la respuesta.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5.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CDP N° 1329 y RP del 7 de octubre de 2025.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6.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Designación de la supervisora del 7 de octubre de 2025.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7.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Póliza N° 460-47-994000091804 de Aseguradora Solidaria de Colombia y acta de aprobación de pólizas del 9 de octubre de 2025.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8.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Factura FE-2920, comprobante FCAF-53, acta de recibo final y comprobante de egreso.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9.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Relación de equipos con seriales y sede de destino.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10.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Solicitud de subsanación del 2 de octubre de 2026, constancia del 5 de octubre de 2026 y formato de supervisión complementario.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11.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Comunicación de la Gerente del 5 de octubre de 2026 sobre los descuentos de estampillas.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Nota de trabajo, retirar antes de radicar: ya están en la carpeta los anexos 3, 4, 7, 10 y 11; faltan los anexos 1, 2, 5, 6, 8 y 9. Verificar que existan y se anexen.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4. Consideración final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Las observaciones recaen sobre aspectos formales de los documentos del expediente y no sobre el resultado de la gestión fiscal: la entidad adquirió la dotación informática que necesitaba, por un valor inferior al presupuesto estimado, con respaldo presupuestal previo al compromiso; los bienes ingresaron al almacén, fueron recibidos y están al servicio de los Equipos Básicos en Salud, y se pagó exactamente el valor pactado. No concurren, por tanto, el daño patrimonial ni la conducta dolosa o gravemente culposa que exige la responsabilidad fiscal (Ley 610 de 2000, artículo 5, modificado por el artículo 125 del Decreto Ley 403 de 2020). Las imprecisiones advertidas fueron identificadas y corregidas por la propia entidad durante el proceso auditor y antes del informe preliminar, y las que dependen de terceros, la corrección del formato de rendición y la liquidación de los descuentos departamentales, están en trámite en los términos indicados. La entidad solicita que esta gestión se valore como beneficio del control fiscal.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5. Solicitud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La entidad solicita respetuosamente tener por atendidas las observaciones sobre el Contrato N° 983 de 2025 o, en su defecto, calificarlas como de carácter administrativo para su inclusión en el plan de mejoramiento. Quedamos atentos a cualquier aclaración adicional.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Atentamente,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CLAUDIA BELÉN JULIO SEPÚLVEDA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Gerente, E.S.E. Hospital Regional Centro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Anexos: los relacionados en el numeral 3.</w:t>
      </w:r>
    </w:p>
    <w:p>
      <w:pPr>
        <w:spacing w:after="0"/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36"/>
        <w:gridCol w:w="4854"/>
        <w:gridCol w:w="2938"/>
      </w:tblGrid>
      <w:tr w:rsidR="00DE4070" w14:paraId="5E403577" w14:textId="77777777" w:rsidTr="00E95D9C">
        <w:trPr>
          <w:trHeight w:val="283"/>
        </w:trPr>
        <w:tc>
          <w:tcPr>
            <w:tcW w:w="587" w:type="pct"/>
            <w:vAlign w:val="center"/>
          </w:tcPr>
          <w:p w14:paraId="23D369F5" w14:textId="77777777" w:rsidR="00DE4070" w:rsidRPr="00E95D9C" w:rsidRDefault="00000000">
            <w:pPr>
              <w:spacing w:after="0"/>
              <w:jc w:val="center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kern w:val="2"/>
              </w:rPr>
              <w:t>Revisó:</w:t>
            </w:r>
          </w:p>
        </w:tc>
        <w:tc>
          <w:tcPr>
            <w:tcW w:w="2749" w:type="pct"/>
            <w:vAlign w:val="center"/>
          </w:tcPr>
          <w:p w14:paraId="009494F4" w14:textId="2B2809BA" w:rsidR="00DE4070" w:rsidRPr="00E95D9C" w:rsidRDefault="00E95D9C">
            <w:pPr>
              <w:spacing w:after="0"/>
              <w:jc w:val="left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kern w:val="2"/>
              </w:rPr>
              <w:t>Natalia Angarita, Ramos Mejía &amp; Abogados S.A.S</w:t>
            </w:r>
          </w:p>
        </w:tc>
        <w:tc>
          <w:tcPr>
            <w:tcW w:w="1664" w:type="pct"/>
            <w:vAlign w:val="center"/>
          </w:tcPr>
          <w:p w14:paraId="5F2309EA" w14:textId="6F9551BE" w:rsidR="00DE4070" w:rsidRPr="00E95D9C" w:rsidRDefault="00E95D9C">
            <w:pPr>
              <w:spacing w:after="0"/>
              <w:jc w:val="left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noProof/>
                <w:kern w:val="2"/>
              </w:rPr>
              <w:drawing>
                <wp:anchor distT="0" distB="0" distL="114300" distR="114300" simplePos="0" relativeHeight="251658240" behindDoc="1" locked="0" layoutInCell="1" allowOverlap="1" wp14:anchorId="5B23B1C0" wp14:editId="2F23079C">
                  <wp:simplePos x="0" y="0"/>
                  <wp:positionH relativeFrom="column">
                    <wp:posOffset>756920</wp:posOffset>
                  </wp:positionH>
                  <wp:positionV relativeFrom="paragraph">
                    <wp:posOffset>-123825</wp:posOffset>
                  </wp:positionV>
                  <wp:extent cx="190500" cy="508000"/>
                  <wp:effectExtent l="0" t="0" r="0" b="6350"/>
                  <wp:wrapNone/>
                  <wp:docPr id="11727449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744955" name="Imagen 1172744955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605" t="25992" r="43539" b="11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508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kern w:val="2"/>
              </w:rPr>
              <w:t>Firma:</w:t>
            </w:r>
          </w:p>
        </w:tc>
      </w:tr>
    </w:tbl>
    <w:p>
      <w:pPr>
        <w:spacing w:after="0"/>
      </w:pPr>
    </w:p>
    <w:sectPr w:rsidR="00DE4070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DCDB8" w14:textId="77777777" w:rsidR="004C0378" w:rsidRDefault="004C0378">
      <w:r>
        <w:separator/>
      </w:r>
    </w:p>
  </w:endnote>
  <w:endnote w:type="continuationSeparator" w:id="0">
    <w:p w14:paraId="10802AD9" w14:textId="77777777" w:rsidR="004C0378" w:rsidRDefault="004C03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9BDC" w14:textId="77777777" w:rsidR="00DE4070" w:rsidRDefault="00000000">
    <w:pPr>
      <w:suppressAutoHyphens/>
      <w:spacing w:after="0"/>
      <w:ind w:right="360"/>
      <w:jc w:val="center"/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</w:pPr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 xml:space="preserve">"Unidos por una atención </w:t>
    </w:r>
    <w:proofErr w:type="gramStart"/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>más segura y más humana</w:t>
    </w:r>
    <w:proofErr w:type="gramEnd"/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>"</w:t>
    </w:r>
  </w:p>
  <w:p w14:paraId="62C8233B" w14:textId="77777777" w:rsidR="00DE4070" w:rsidRDefault="00000000">
    <w:pPr>
      <w:suppressAutoHyphens/>
      <w:spacing w:after="0"/>
      <w:ind w:right="360"/>
      <w:jc w:val="center"/>
      <w:rPr>
        <w:rFonts w:eastAsia="Times New Roman" w:cs="Times New Roman"/>
        <w:color w:val="000000"/>
        <w:sz w:val="18"/>
        <w:szCs w:val="18"/>
        <w:lang w:val="es-ES" w:eastAsia="es-ES"/>
      </w:rPr>
    </w:pPr>
    <w:r>
      <w:rPr>
        <w:rFonts w:eastAsia="Times New Roman" w:cs="Times New Roman"/>
        <w:color w:val="000000"/>
        <w:sz w:val="18"/>
        <w:szCs w:val="18"/>
        <w:lang w:val="es-ES" w:eastAsia="es-ES"/>
      </w:rPr>
      <w:t>KDX VDA, BARRIO MIRAFLOREZ, Cel.3118111189</w:t>
    </w:r>
  </w:p>
  <w:p w14:paraId="32FC863F" w14:textId="07455C00" w:rsidR="00DE4070" w:rsidRDefault="00173B02">
    <w:pPr>
      <w:tabs>
        <w:tab w:val="center" w:pos="4419"/>
        <w:tab w:val="right" w:pos="8838"/>
      </w:tabs>
      <w:suppressAutoHyphens/>
      <w:spacing w:after="0"/>
      <w:jc w:val="center"/>
      <w:rPr>
        <w:rFonts w:eastAsia="Arial" w:cs="Arial"/>
        <w:color w:val="000000"/>
        <w:sz w:val="18"/>
        <w:szCs w:val="18"/>
        <w:lang w:val="es-ES" w:eastAsia="es-ES"/>
      </w:rPr>
    </w:pPr>
    <w:hyperlink r:id="rId1" w:history="1">
      <w:r w:rsidRPr="009B58E2">
        <w:rPr>
          <w:rStyle w:val="Hipervnculo"/>
          <w:rFonts w:eastAsia="Arial" w:cs="Arial"/>
          <w:sz w:val="18"/>
          <w:szCs w:val="18"/>
          <w:lang w:val="es-ES" w:eastAsia="es-ES"/>
        </w:rPr>
        <w:t>secretariageneral@centroese.gov.co</w:t>
      </w:r>
    </w:hyperlink>
    <w:r>
      <w:rPr>
        <w:rFonts w:eastAsia="Arial" w:cs="Arial"/>
        <w:color w:val="000000"/>
        <w:sz w:val="18"/>
        <w:szCs w:val="18"/>
        <w:lang w:val="es-ES" w:eastAsia="es-ES"/>
      </w:rPr>
      <w:t xml:space="preserve"> – </w:t>
    </w:r>
    <w:hyperlink r:id="rId2" w:history="1">
      <w:r>
        <w:rPr>
          <w:rFonts w:eastAsia="Arial" w:cs="Arial"/>
          <w:color w:val="0563C1"/>
          <w:sz w:val="18"/>
          <w:szCs w:val="18"/>
          <w:u w:val="single"/>
          <w:lang w:val="es-ES" w:eastAsia="es-ES"/>
        </w:rPr>
        <w:t>www.esecentro.com</w:t>
      </w:r>
    </w:hyperlink>
    <w:r>
      <w:rPr>
        <w:rFonts w:eastAsia="Arial" w:cs="Arial"/>
        <w:color w:val="0563C1"/>
        <w:sz w:val="18"/>
        <w:szCs w:val="18"/>
        <w:u w:val="single"/>
        <w:lang w:val="es-ES" w:eastAsia="es-ES"/>
      </w:rPr>
      <w:t>.co</w:t>
    </w:r>
  </w:p>
  <w:p w14:paraId="1CB6E360" w14:textId="77777777" w:rsidR="00DE4070" w:rsidRDefault="00000000">
    <w:pPr>
      <w:tabs>
        <w:tab w:val="center" w:pos="4419"/>
        <w:tab w:val="right" w:pos="8838"/>
      </w:tabs>
      <w:suppressAutoHyphens/>
      <w:spacing w:after="0"/>
      <w:jc w:val="center"/>
      <w:rPr>
        <w:rFonts w:eastAsia="Arial" w:cs="Arial"/>
        <w:color w:val="000000"/>
        <w:sz w:val="18"/>
        <w:szCs w:val="18"/>
        <w:lang w:val="es-ES" w:eastAsia="es-ES"/>
      </w:rPr>
    </w:pPr>
    <w:r>
      <w:rPr>
        <w:rFonts w:eastAsia="Arial" w:cs="Arial"/>
        <w:color w:val="000000"/>
        <w:sz w:val="18"/>
        <w:szCs w:val="18"/>
        <w:lang w:val="es-ES" w:eastAsia="es-ES"/>
      </w:rPr>
      <w:t>Gramalote- Norte de Santander</w:t>
    </w:r>
  </w:p>
  <w:p w14:paraId="2F3D8E1A" w14:textId="77777777" w:rsidR="00DE4070" w:rsidRDefault="00DE40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D2B0A" w14:textId="77777777" w:rsidR="004C0378" w:rsidRDefault="004C0378">
      <w:pPr>
        <w:spacing w:after="0"/>
      </w:pPr>
      <w:r>
        <w:separator/>
      </w:r>
    </w:p>
  </w:footnote>
  <w:footnote w:type="continuationSeparator" w:id="0">
    <w:p w14:paraId="20080032" w14:textId="77777777" w:rsidR="004C0378" w:rsidRDefault="004C0378">
      <w:pPr>
        <w:spacing w:after="0"/>
      </w:pPr>
      <w:r>
        <w:continuationSeparator/>
      </w:r>
    </w:p>
  </w:footnote>
  <w:footnote w:id="1">
    <w:p>
      <w:pPr>
        <w:spacing w:after="0" w:line="240" w:lineRule="auto"/>
        <w:jc w:val="both"/>
        <w:rPr>
          <w:rFonts w:ascii="Times New Roman" w:eastAsia="Arial" w:hAnsi="Times New Roman" w:cs="Times New Roman"/>
          <w:sz w:val="18"/>
          <w:szCs w:val="18"/>
          <w:lang w:val="es-CO"/>
        </w:rPr>
      </w:pPr>
      <w:r>
        <w:rPr>
          <w:rFonts w:ascii="Times New Roman" w:eastAsia="Arial" w:hAnsi="Times New Roman" w:cs="Times New Roman"/>
          <w:vertAlign w:val="superscript"/>
          <w:sz w:val="18"/>
          <w:szCs w:val="18"/>
          <w:lang w:val="es-CO"/>
        </w:rPr>
        <w:footnoteRef/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 </w:t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Ley 100 de 1993, artículo 195, numeral 6, y Ley 1150 de 2007, artículo 13.</w:t>
      </w:r>
    </w:p>
  </w:footnote>
  <w:footnote w:id="2">
    <w:p>
      <w:pPr>
        <w:spacing w:after="0" w:line="240" w:lineRule="auto"/>
        <w:jc w:val="both"/>
        <w:rPr>
          <w:rFonts w:ascii="Times New Roman" w:eastAsia="Arial" w:hAnsi="Times New Roman" w:cs="Times New Roman"/>
          <w:sz w:val="18"/>
          <w:szCs w:val="18"/>
          <w:lang w:val="es-CO"/>
        </w:rPr>
      </w:pPr>
      <w:r>
        <w:rPr>
          <w:rFonts w:ascii="Times New Roman" w:eastAsia="Arial" w:hAnsi="Times New Roman" w:cs="Times New Roman"/>
          <w:vertAlign w:val="superscript"/>
          <w:sz w:val="18"/>
          <w:szCs w:val="18"/>
          <w:lang w:val="es-CO"/>
        </w:rPr>
        <w:footnoteRef/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 </w:t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Estatutos de la E.S.E., Acuerdo 006 de 2014 de la Junta Directiva, artículo 68, que remite en materia presupuestal a los Decretos 111 y 115 de 1996, cuyos artículos 71 y 21 exigen certificado de disponibilidad previo para los actos que afecten las apropiaciones y registro presupuestal para los compromisos.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77" w:type="pct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196"/>
      <w:gridCol w:w="4568"/>
      <w:gridCol w:w="2032"/>
      <w:gridCol w:w="1698"/>
    </w:tblGrid>
    <w:tr w:rsidR="00DE4070" w14:paraId="26545AFC" w14:textId="77777777">
      <w:trPr>
        <w:trHeight w:val="60"/>
        <w:jc w:val="center"/>
      </w:trPr>
      <w:tc>
        <w:tcPr>
          <w:tcW w:w="654" w:type="pct"/>
          <w:vMerge w:val="restart"/>
        </w:tcPr>
        <w:p w14:paraId="15A0E886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color w:val="000000"/>
              <w:sz w:val="20"/>
              <w:szCs w:val="20"/>
            </w:rPr>
          </w:pPr>
          <w:r>
            <w:rPr>
              <w:noProof/>
              <w:sz w:val="20"/>
              <w:szCs w:val="20"/>
              <w:lang w:eastAsia="es-CO"/>
            </w:rPr>
            <w:drawing>
              <wp:anchor distT="0" distB="0" distL="114300" distR="114300" simplePos="0" relativeHeight="251659264" behindDoc="1" locked="0" layoutInCell="1" allowOverlap="1" wp14:anchorId="32F87063" wp14:editId="7FFC54DC">
                <wp:simplePos x="0" y="0"/>
                <wp:positionH relativeFrom="column">
                  <wp:posOffset>7620</wp:posOffset>
                </wp:positionH>
                <wp:positionV relativeFrom="paragraph">
                  <wp:posOffset>20320</wp:posOffset>
                </wp:positionV>
                <wp:extent cx="695325" cy="533400"/>
                <wp:effectExtent l="0" t="0" r="9525" b="0"/>
                <wp:wrapNone/>
                <wp:docPr id="4" name="Imagen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53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430" w:type="pct"/>
          <w:vMerge w:val="restart"/>
          <w:vAlign w:val="center"/>
        </w:tcPr>
        <w:p w14:paraId="5905158D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rFonts w:eastAsia="Arial" w:cs="Arial"/>
              <w:color w:val="000000"/>
              <w:sz w:val="20"/>
              <w:szCs w:val="20"/>
            </w:rPr>
          </w:pPr>
          <w:r>
            <w:rPr>
              <w:rFonts w:eastAsia="Arial" w:cs="Arial"/>
              <w:color w:val="000000"/>
              <w:sz w:val="20"/>
              <w:szCs w:val="20"/>
            </w:rPr>
            <w:t>COMUNICACIÓN EXTERNA</w:t>
          </w:r>
        </w:p>
      </w:tc>
      <w:tc>
        <w:tcPr>
          <w:tcW w:w="1094" w:type="pct"/>
          <w:vAlign w:val="center"/>
        </w:tcPr>
        <w:p w14:paraId="331896E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Código: GCA-FO-02</w:t>
          </w:r>
        </w:p>
      </w:tc>
      <w:tc>
        <w:tcPr>
          <w:tcW w:w="822" w:type="pct"/>
          <w:vMerge w:val="restart"/>
        </w:tcPr>
        <w:p w14:paraId="51618C68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color w:val="000000"/>
              <w:sz w:val="20"/>
              <w:szCs w:val="20"/>
            </w:rPr>
          </w:pPr>
          <w:r>
            <w:rPr>
              <w:noProof/>
              <w:color w:val="000000"/>
              <w:sz w:val="20"/>
              <w:szCs w:val="20"/>
            </w:rPr>
            <w:drawing>
              <wp:inline distT="0" distB="0" distL="0" distR="0" wp14:anchorId="0E508665" wp14:editId="42407794">
                <wp:extent cx="987425" cy="600075"/>
                <wp:effectExtent l="0" t="0" r="3175" b="9525"/>
                <wp:docPr id="40804146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804146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7425" cy="600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E4070" w14:paraId="7FE72EE4" w14:textId="77777777">
      <w:tblPrEx>
        <w:tblCellMar>
          <w:left w:w="108" w:type="dxa"/>
          <w:right w:w="108" w:type="dxa"/>
        </w:tblCellMar>
      </w:tblPrEx>
      <w:trPr>
        <w:trHeight w:val="204"/>
        <w:jc w:val="center"/>
      </w:trPr>
      <w:tc>
        <w:tcPr>
          <w:tcW w:w="654" w:type="pct"/>
          <w:vMerge/>
        </w:tcPr>
        <w:p w14:paraId="0D3329ED" w14:textId="77777777" w:rsidR="00DE4070" w:rsidRDefault="00DE4070">
          <w:pPr>
            <w:widowControl w:val="0"/>
            <w:spacing w:after="0" w:line="276" w:lineRule="auto"/>
            <w:ind w:hanging="2"/>
            <w:rPr>
              <w:color w:val="000000"/>
              <w:sz w:val="20"/>
              <w:szCs w:val="20"/>
            </w:rPr>
          </w:pPr>
        </w:p>
      </w:tc>
      <w:tc>
        <w:tcPr>
          <w:tcW w:w="2430" w:type="pct"/>
          <w:vMerge/>
          <w:vAlign w:val="center"/>
        </w:tcPr>
        <w:p w14:paraId="7EDC1B4C" w14:textId="77777777" w:rsidR="00DE4070" w:rsidRDefault="00DE4070">
          <w:pPr>
            <w:widowControl w:val="0"/>
            <w:spacing w:after="0" w:line="276" w:lineRule="auto"/>
            <w:ind w:hanging="2"/>
            <w:rPr>
              <w:rFonts w:cs="Arial"/>
              <w:color w:val="000000"/>
              <w:sz w:val="20"/>
              <w:szCs w:val="20"/>
            </w:rPr>
          </w:pPr>
        </w:p>
      </w:tc>
      <w:tc>
        <w:tcPr>
          <w:tcW w:w="1094" w:type="pct"/>
          <w:vAlign w:val="center"/>
        </w:tcPr>
        <w:p w14:paraId="5D10274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Versión: 2</w:t>
          </w:r>
        </w:p>
      </w:tc>
      <w:tc>
        <w:tcPr>
          <w:tcW w:w="822" w:type="pct"/>
          <w:vMerge/>
        </w:tcPr>
        <w:p w14:paraId="4FBF7B3A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  <w:tr w:rsidR="00DE4070" w14:paraId="0AE592AC" w14:textId="77777777">
      <w:tblPrEx>
        <w:tblCellMar>
          <w:left w:w="108" w:type="dxa"/>
          <w:right w:w="108" w:type="dxa"/>
        </w:tblCellMar>
      </w:tblPrEx>
      <w:trPr>
        <w:trHeight w:val="60"/>
        <w:jc w:val="center"/>
      </w:trPr>
      <w:tc>
        <w:tcPr>
          <w:tcW w:w="654" w:type="pct"/>
          <w:vMerge/>
        </w:tcPr>
        <w:p w14:paraId="62FEE453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2430" w:type="pct"/>
          <w:vMerge w:val="restart"/>
          <w:vAlign w:val="center"/>
        </w:tcPr>
        <w:p w14:paraId="678A3BF6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rFonts w:cs="Arial"/>
              <w:color w:val="000000"/>
              <w:sz w:val="20"/>
              <w:szCs w:val="20"/>
            </w:rPr>
          </w:pPr>
          <w:r>
            <w:rPr>
              <w:rFonts w:cs="Arial"/>
              <w:color w:val="000000"/>
              <w:sz w:val="20"/>
              <w:szCs w:val="20"/>
            </w:rPr>
            <w:t>E.S.E HOSPITAL REGIONAL CENTRO</w:t>
          </w:r>
        </w:p>
      </w:tc>
      <w:tc>
        <w:tcPr>
          <w:tcW w:w="1094" w:type="pct"/>
          <w:vAlign w:val="center"/>
        </w:tcPr>
        <w:p w14:paraId="3D2B3737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 xml:space="preserve">Fecha: </w:t>
          </w:r>
          <w:proofErr w:type="gramStart"/>
          <w:r>
            <w:rPr>
              <w:rFonts w:eastAsia="Calibri" w:cs="Arial"/>
              <w:color w:val="000000"/>
              <w:sz w:val="20"/>
              <w:szCs w:val="20"/>
            </w:rPr>
            <w:t>Agosto</w:t>
          </w:r>
          <w:proofErr w:type="gramEnd"/>
          <w:r>
            <w:rPr>
              <w:rFonts w:eastAsia="Calibri" w:cs="Arial"/>
              <w:color w:val="000000"/>
              <w:sz w:val="20"/>
              <w:szCs w:val="20"/>
            </w:rPr>
            <w:t xml:space="preserve"> 2024</w:t>
          </w:r>
        </w:p>
      </w:tc>
      <w:tc>
        <w:tcPr>
          <w:tcW w:w="822" w:type="pct"/>
          <w:vMerge/>
        </w:tcPr>
        <w:p w14:paraId="3DF21392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  <w:tr w:rsidR="00DE4070" w14:paraId="55AB004C" w14:textId="77777777">
      <w:tblPrEx>
        <w:tblCellMar>
          <w:left w:w="108" w:type="dxa"/>
          <w:right w:w="108" w:type="dxa"/>
        </w:tblCellMar>
      </w:tblPrEx>
      <w:trPr>
        <w:trHeight w:val="60"/>
        <w:jc w:val="center"/>
      </w:trPr>
      <w:tc>
        <w:tcPr>
          <w:tcW w:w="654" w:type="pct"/>
          <w:vMerge/>
        </w:tcPr>
        <w:p w14:paraId="243880AA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2430" w:type="pct"/>
          <w:vMerge/>
          <w:vAlign w:val="center"/>
        </w:tcPr>
        <w:p w14:paraId="26ACCBBB" w14:textId="77777777" w:rsidR="00DE4070" w:rsidRDefault="00DE4070">
          <w:pPr>
            <w:widowControl w:val="0"/>
            <w:spacing w:after="0" w:line="276" w:lineRule="auto"/>
            <w:ind w:hanging="2"/>
            <w:rPr>
              <w:rFonts w:eastAsia="Calibri" w:cs="Arial"/>
              <w:color w:val="000000"/>
              <w:sz w:val="20"/>
              <w:szCs w:val="20"/>
            </w:rPr>
          </w:pPr>
        </w:p>
      </w:tc>
      <w:tc>
        <w:tcPr>
          <w:tcW w:w="1094" w:type="pct"/>
          <w:vAlign w:val="center"/>
        </w:tcPr>
        <w:p w14:paraId="4E1093D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Pag.:</w: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begin"/>
          </w:r>
          <w:r>
            <w:rPr>
              <w:rFonts w:eastAsia="Calibri" w:cs="Arial"/>
              <w:color w:val="000000"/>
              <w:sz w:val="20"/>
              <w:szCs w:val="20"/>
            </w:rPr>
            <w:instrText>PAGE   \* MERGEFORMAT</w:instrTex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separate"/>
          </w:r>
          <w:r>
            <w:rPr>
              <w:rFonts w:eastAsia="Calibri" w:cs="Arial"/>
              <w:color w:val="000000"/>
              <w:sz w:val="20"/>
              <w:szCs w:val="20"/>
            </w:rPr>
            <w:t>1</w: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end"/>
          </w:r>
        </w:p>
      </w:tc>
      <w:tc>
        <w:tcPr>
          <w:tcW w:w="822" w:type="pct"/>
          <w:vMerge/>
        </w:tcPr>
        <w:p w14:paraId="6D04367B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</w:tbl>
  <w:p w14:paraId="1C3747F1" w14:textId="77777777" w:rsidR="00DE4070" w:rsidRDefault="00DE407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7C3"/>
    <w:rsid w:val="000563F6"/>
    <w:rsid w:val="00094768"/>
    <w:rsid w:val="00126A1F"/>
    <w:rsid w:val="00147C18"/>
    <w:rsid w:val="0015414C"/>
    <w:rsid w:val="00173B02"/>
    <w:rsid w:val="001E7C52"/>
    <w:rsid w:val="0023289C"/>
    <w:rsid w:val="002355C4"/>
    <w:rsid w:val="00242F16"/>
    <w:rsid w:val="00253C95"/>
    <w:rsid w:val="002B3A7A"/>
    <w:rsid w:val="003079BB"/>
    <w:rsid w:val="00323C18"/>
    <w:rsid w:val="003451F7"/>
    <w:rsid w:val="003915B3"/>
    <w:rsid w:val="003B5C75"/>
    <w:rsid w:val="003C4020"/>
    <w:rsid w:val="003F311D"/>
    <w:rsid w:val="00405478"/>
    <w:rsid w:val="004705D9"/>
    <w:rsid w:val="00484C4D"/>
    <w:rsid w:val="004B3B04"/>
    <w:rsid w:val="004B6CD9"/>
    <w:rsid w:val="004C0378"/>
    <w:rsid w:val="004D6A9D"/>
    <w:rsid w:val="004E0C35"/>
    <w:rsid w:val="004E19FB"/>
    <w:rsid w:val="005206D4"/>
    <w:rsid w:val="00524590"/>
    <w:rsid w:val="005A45A3"/>
    <w:rsid w:val="005B243F"/>
    <w:rsid w:val="005B6C48"/>
    <w:rsid w:val="005E6D37"/>
    <w:rsid w:val="005F4B01"/>
    <w:rsid w:val="005F79C5"/>
    <w:rsid w:val="00606C0A"/>
    <w:rsid w:val="00624A6C"/>
    <w:rsid w:val="00640A3A"/>
    <w:rsid w:val="0066029F"/>
    <w:rsid w:val="00665D08"/>
    <w:rsid w:val="006719F1"/>
    <w:rsid w:val="00696C3A"/>
    <w:rsid w:val="006B0744"/>
    <w:rsid w:val="006B4C97"/>
    <w:rsid w:val="006B6D79"/>
    <w:rsid w:val="00724999"/>
    <w:rsid w:val="007A1F0F"/>
    <w:rsid w:val="007E0CB5"/>
    <w:rsid w:val="007E371E"/>
    <w:rsid w:val="007E7A56"/>
    <w:rsid w:val="00801B92"/>
    <w:rsid w:val="0084076A"/>
    <w:rsid w:val="008B160D"/>
    <w:rsid w:val="008B4C10"/>
    <w:rsid w:val="008C15A3"/>
    <w:rsid w:val="008C6F62"/>
    <w:rsid w:val="008D6EEF"/>
    <w:rsid w:val="008E3B77"/>
    <w:rsid w:val="009332A9"/>
    <w:rsid w:val="0093332B"/>
    <w:rsid w:val="0093587C"/>
    <w:rsid w:val="00965F51"/>
    <w:rsid w:val="00970BEE"/>
    <w:rsid w:val="009905FE"/>
    <w:rsid w:val="009A35BE"/>
    <w:rsid w:val="009B45F7"/>
    <w:rsid w:val="009D67C3"/>
    <w:rsid w:val="009F23D5"/>
    <w:rsid w:val="00A018CA"/>
    <w:rsid w:val="00A03FD1"/>
    <w:rsid w:val="00A22772"/>
    <w:rsid w:val="00A52736"/>
    <w:rsid w:val="00A8053B"/>
    <w:rsid w:val="00A86C95"/>
    <w:rsid w:val="00AC02D5"/>
    <w:rsid w:val="00B13B7C"/>
    <w:rsid w:val="00B1420D"/>
    <w:rsid w:val="00B26974"/>
    <w:rsid w:val="00B777DB"/>
    <w:rsid w:val="00B97CA8"/>
    <w:rsid w:val="00BC1594"/>
    <w:rsid w:val="00BD50D1"/>
    <w:rsid w:val="00BF10B0"/>
    <w:rsid w:val="00C64230"/>
    <w:rsid w:val="00C947D6"/>
    <w:rsid w:val="00C95256"/>
    <w:rsid w:val="00CA3F01"/>
    <w:rsid w:val="00CA41C9"/>
    <w:rsid w:val="00CB786B"/>
    <w:rsid w:val="00CC5003"/>
    <w:rsid w:val="00CC67F9"/>
    <w:rsid w:val="00CE1A9C"/>
    <w:rsid w:val="00CE37F7"/>
    <w:rsid w:val="00CF66EB"/>
    <w:rsid w:val="00D47E14"/>
    <w:rsid w:val="00D51A48"/>
    <w:rsid w:val="00D52CA1"/>
    <w:rsid w:val="00D92C91"/>
    <w:rsid w:val="00DA588F"/>
    <w:rsid w:val="00DB3A8F"/>
    <w:rsid w:val="00DD5FDD"/>
    <w:rsid w:val="00DE4070"/>
    <w:rsid w:val="00E06441"/>
    <w:rsid w:val="00E30C10"/>
    <w:rsid w:val="00E332F4"/>
    <w:rsid w:val="00E3577F"/>
    <w:rsid w:val="00E55AD1"/>
    <w:rsid w:val="00E8158D"/>
    <w:rsid w:val="00E95D9C"/>
    <w:rsid w:val="00EC6E60"/>
    <w:rsid w:val="00ED2745"/>
    <w:rsid w:val="00EF6B23"/>
    <w:rsid w:val="00F0434F"/>
    <w:rsid w:val="00F055D9"/>
    <w:rsid w:val="00F1071B"/>
    <w:rsid w:val="00F37E90"/>
    <w:rsid w:val="00F5680A"/>
    <w:rsid w:val="00F816BF"/>
    <w:rsid w:val="00FE02F1"/>
    <w:rsid w:val="00FE208F"/>
    <w:rsid w:val="00FE546C"/>
    <w:rsid w:val="00FE6103"/>
    <w:rsid w:val="00FE6BD7"/>
    <w:rsid w:val="4D215D21"/>
    <w:rsid w:val="667D3839"/>
    <w:rsid w:val="6B162CBB"/>
    <w:rsid w:val="78907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F9402"/>
  <w15:docId w15:val="{597F8497-119D-4292-BF40-B9CC1EEA0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  <w:jc w:val="both"/>
    </w:pPr>
    <w:rPr>
      <w:rFonts w:ascii="Arial" w:hAnsi="Arial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uiPriority w:val="20"/>
    <w:qFormat/>
    <w:rPr>
      <w:i/>
      <w:iCs/>
    </w:rPr>
  </w:style>
  <w:style w:type="character" w:styleId="Hipervnculo">
    <w:name w:val="Hyperlink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419"/>
        <w:tab w:val="right" w:pos="8838"/>
      </w:tabs>
      <w:spacing w:after="0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qFormat/>
    <w:rPr>
      <w:rFonts w:ascii="Arial" w:hAnsi="Aria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  <w:style w:type="paragraph" w:styleId="Sinespaciado">
    <w:name w:val="No Spacing"/>
    <w:uiPriority w:val="1"/>
    <w:qFormat/>
    <w:rPr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173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secentro.com" TargetMode="External"/><Relationship Id="rId1" Type="http://schemas.openxmlformats.org/officeDocument/2006/relationships/hyperlink" Target="mailto:secretariageneral@centroese.gov.c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250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Patiño Flórez</dc:creator>
  <cp:lastModifiedBy>Natalia Angarita</cp:lastModifiedBy>
  <cp:revision>2</cp:revision>
  <cp:lastPrinted>2021-03-08T19:29:00Z</cp:lastPrinted>
  <dcterms:created xsi:type="dcterms:W3CDTF">2026-10-06T22:45:00Z</dcterms:created>
  <dcterms:modified xsi:type="dcterms:W3CDTF">2026-10-06T22:45:00Z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81F5C677738245DEBB240246E264F419_12</vt:lpwstr>
  </property>
</Properties>
</file>