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a su alcance sobre los contratos 983, 1058 y 1056 de 2025, y remisión de soportes.</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Mediante la comunicación con radicado N° 20262010017741, ese órgano de control notificó la apertura de la Auditoría Financiera de Gestión y Resultados Abreviada a la E.S.E. Hospital Regional Centro por la vigencia 2025. El 1 de octubre de 2026 el equipo auditor requirió los soportes y aclaraciones pendientes de los contratos 1056, 1058 y 983 de 2025 </w:t>
      </w:r>
      <w:r>
        <w:rPr>
          <w:rFonts w:ascii="Times New Roman" w:eastAsia="Arial" w:hAnsi="Times New Roman" w:cs="Times New Roman"/>
          <w:highlight w:val="yellow"/>
          <w:sz w:val="24"/>
          <w:szCs w:val="24"/>
          <w:lang w:val="es-CO"/>
        </w:rPr>
        <w:t xml:space="preserve">y mediante oficio de alcance del (fecha y radicado) precisó los puntos por atender</w:t>
      </w:r>
      <w:r>
        <w:rPr>
          <w:rFonts w:ascii="Times New Roman" w:eastAsia="Arial" w:hAnsi="Times New Roman" w:cs="Times New Roman"/>
          <w:sz w:val="24"/>
          <w:szCs w:val="24"/>
          <w:lang w:val="es-CO"/>
        </w:rPr>
        <w:t xml:space="preserve">; el 2 de octubre de 2026 la entidad solicitó un término de setenta y dos horas hábiles </w:t>
      </w:r>
      <w:r>
        <w:rPr>
          <w:rFonts w:ascii="Times New Roman" w:eastAsia="Arial" w:hAnsi="Times New Roman" w:cs="Times New Roman"/>
          <w:highlight w:val="yellow"/>
          <w:sz w:val="24"/>
          <w:szCs w:val="24"/>
          <w:lang w:val="es-CO"/>
        </w:rPr>
        <w:t xml:space="preserve">citar radicado y, si existe, la comunicación que lo concedió</w:t>
      </w:r>
      <w:r>
        <w:rPr>
          <w:rFonts w:ascii="Times New Roman" w:eastAsia="Arial" w:hAnsi="Times New Roman" w:cs="Times New Roman"/>
          <w:sz w:val="24"/>
          <w:szCs w:val="24"/>
          <w:lang w:val="es-CO"/>
        </w:rPr>
        <w:t xml:space="preserve">. Dentro de ese término, la entidad responde en un solo oficio, con un capítulo por contrato, y remite los soportes que acreditan cada respuesta. Esta comunicación complementa la respuesta del 29 de septiembre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y las comunicaciones del 5 de octubre de 2026 que se anexan. Los documentos remitidos el 1 de octubre de 2026 </w:t>
      </w:r>
      <w:r>
        <w:rPr>
          <w:rFonts w:ascii="Times New Roman" w:eastAsia="Arial" w:hAnsi="Times New Roman" w:cs="Times New Roman"/>
          <w:highlight w:val="yellow"/>
          <w:sz w:val="24"/>
          <w:szCs w:val="24"/>
          <w:lang w:val="es-CO"/>
        </w:rPr>
        <w:t xml:space="preserve">verificar el contenido exacto del enlace enviado ese día</w:t>
      </w:r>
      <w:r>
        <w:rPr>
          <w:rFonts w:ascii="Times New Roman" w:eastAsia="Arial" w:hAnsi="Times New Roman" w:cs="Times New Roman"/>
          <w:sz w:val="24"/>
          <w:szCs w:val="24"/>
          <w:lang w:val="es-CO"/>
        </w:rPr>
        <w:t xml:space="preserve"> se mantienen y no se repiten, salvo los que se anexan de nuevo para facilidad de consulta. Las respuestas de los contratistas se remiten en los términos en que fueron recibidas; la posición de la entidad es la que se expone en este oficio.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E.S.E. contrata bajo el derecho privado y su Manual de Contratación (Resolución 002 de 2023 y sus modificaciones), con sujeción a los principios de la función administrativa y de la gestión fiscal y al régimen de inhabilidades e incompatibilidades. En cada capítulo se presentan los antecedentes del contrato, la respuesta a cada observación en el orden del requerimiento y la relación de anexos.</w:t>
      </w:r>
    </w:p>
    <w:p>
      <w:pPr>
        <w:keepNext/>
        <w:spacing w:before="24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I. Contrato de Suministro N° 983 de 2025 (dotación informática, System Salud)</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tuvo por objeto la dotación informática de los Equipos Básicos en Salud de Gramalote, Salazar, Arboledas, Lourdes y Villa Caro, con recursos de la Resolución 877 de 2025. Se celebró con la señora Chiquinquirá Contreras Rodríguez, C.C. 60.371.860, propietaria de System Salud, por $46.321.300 IVA incluido, mediante invitación privada de mínima cuantía N° 017 de 2025, con CDP N° 1329 del 3 de octubre de 2025 y RP N° </w:t>
      </w:r>
      <w:r>
        <w:rPr>
          <w:rFonts w:ascii="Times New Roman" w:eastAsia="Arial" w:hAnsi="Times New Roman" w:cs="Times New Roman"/>
          <w:highlight w:val="yellow"/>
          <w:sz w:val="24"/>
          <w:szCs w:val="24"/>
          <w:lang w:val="es-CO"/>
        </w:rPr>
        <w:t xml:space="preserve">número</w:t>
      </w:r>
      <w:r>
        <w:rPr>
          <w:rFonts w:ascii="Times New Roman" w:eastAsia="Arial" w:hAnsi="Times New Roman" w:cs="Times New Roman"/>
          <w:sz w:val="24"/>
          <w:szCs w:val="24"/>
          <w:lang w:val="es-CO"/>
        </w:rPr>
        <w:t xml:space="preserve"> del 7 de octubre de 2025. Acta de inicio del 9 de octubre de 2025, plazo de un mes; factura FE-2920 del 17 de octubre; ingreso a almacén FCAF-53 del 20 de octubre; acta de recibo final del 31 de octubre de 2025; pago único y liquidación.</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y soportes del proceso. El contrato se adelantó por mínima cuantía mediante la invitación privada N° 017 de 2025; se recibió y evaluó una sola propuesta. La casilla "SIN OFERTAS" del formato de rendición es un error de diligenciamiento; se solicita al equipo auditor indicar el procedimiento para corregirlo. Se anexan invitación, propuesta, acta de cierre, informe de evaluación y constancia de traslado.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Estudio previo. La mención a la contratación directa y el valor de $46.504.850 son residuos de plantilla. La modalidad fue mínima cuantía y el valor contratado, $46.321.300, es el de la única propuesta, inferior al presupuesto estimado y respaldado por el CDP 1329.</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Invitación anterior al CDP. La invitación no comprometió recursos; el compromiso nació con el contrato, ya expedidos el CDP (3 de octubre) y el RP (7 de octubre de 2025). La entidad acoge como acción de mejora expedir el CDP antes de abrir la invitación.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Cierre y evaluación sin fecha. Cierre el 1 de octubre de 2025; evaluación y comunicación a la proponente el 2 de octubre; traslado sin observaciones el 3 de octubre. Se anexa la constancia de recibo, traslado y manifestación sobre el informe de evaluación, suscrita por la proponente y por el líder de contratación. </w:t>
      </w:r>
      <w:r>
        <w:rPr>
          <w:rFonts w:ascii="Times New Roman" w:eastAsia="Arial" w:hAnsi="Times New Roman" w:cs="Times New Roman"/>
          <w:highlight w:val="yellow"/>
          <w:sz w:val="24"/>
          <w:szCs w:val="24"/>
          <w:lang w:val="es-CO"/>
        </w:rPr>
        <w:t xml:space="preserve">La constancia está fechada el 3 de octubre de 2025 pero el archivo PDF se generó el 5 de octubre de 2026. Si fue elaborada ahora, debe llevar la fecha actual y presentarse como certificación de hechos ocurridos el 2 y 3 de octubre de 2025; un documento con fecha anterior a su elaboración expone a la Gerente y a los firmantes a un riesgo penal y disciplinario mayor que la observación que subsana.</w:t>
      </w:r>
      <w:r>
        <w:rPr>
          <w:rFonts w:ascii="Times New Roman" w:eastAsia="Arial" w:hAnsi="Times New Roman" w:cs="Times New Roman"/>
          <w:sz w:val="24"/>
          <w:szCs w:val="24"/>
          <w:lang w:val="es-CO"/>
        </w:rPr>
        <w:t xml:space="preserve"> Los formatos se ajustarán para consignar fecha en cada etapa.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Plazo y rubro del formato de rendición. El plazo fue de un mes desde el acta de inicio (9 de octubre a 8 de noviembre de 2025). Las fechas y el rubro del formato son errores de diligenciamiento ya reconocidos el 29 de septiembre; los rubros reales son 2.1.2.01.01.003.03.11 a 2.1.2.01.01.003.03.20. Se solicita indicar el mecanismo de corrección.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Supervisión. La ejerció una sola funcionaria, la doctora Yolima Beltrán Santander, Subdirectora Científica, designada el 7 de octubre de 2025. El cargo distinto que registran el contrato y el formato es un error de plantilla. Se anexa la designación.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Nombre de la contratista. El segundo apellido correcto es Rodríguez, como consta en la póliza, el RP, el egreso y el formato de rendición. La cédula coincide en todos los documentos.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CDP citado en el contrato. "1239" es una transposición de "1329", único CDP del contrato.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tab/>
      </w:r>
      <w:r>
        <w:rPr>
          <w:rFonts w:ascii="Times New Roman" w:eastAsia="Arial" w:hAnsi="Times New Roman" w:cs="Times New Roman"/>
          <w:sz w:val="24"/>
          <w:szCs w:val="24"/>
          <w:lang w:val="es-CO"/>
        </w:rPr>
        <w:t xml:space="preserve">Informe de actividades y certificación posteriores al egreso. El pago (egreso N° </w:t>
      </w:r>
      <w:r>
        <w:rPr>
          <w:rFonts w:ascii="Times New Roman" w:eastAsia="Arial" w:hAnsi="Times New Roman" w:cs="Times New Roman"/>
          <w:highlight w:val="yellow"/>
          <w:sz w:val="24"/>
          <w:szCs w:val="24"/>
          <w:lang w:val="es-CO"/>
        </w:rPr>
        <w:t xml:space="preserve">número</w:t>
      </w:r>
      <w:r>
        <w:rPr>
          <w:rFonts w:ascii="Times New Roman" w:eastAsia="Arial" w:hAnsi="Times New Roman" w:cs="Times New Roman"/>
          <w:sz w:val="24"/>
          <w:szCs w:val="24"/>
          <w:lang w:val="es-CO"/>
        </w:rPr>
        <w:t xml:space="preserve">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se soportó en la factura, el ingreso a almacén y el acta de recibo final del 31 de octubre de 2025 </w:t>
      </w:r>
      <w:r>
        <w:rPr>
          <w:rFonts w:ascii="Times New Roman" w:eastAsia="Arial" w:hAnsi="Times New Roman" w:cs="Times New Roman"/>
          <w:highlight w:val="yellow"/>
          <w:sz w:val="24"/>
          <w:szCs w:val="24"/>
          <w:lang w:val="es-CO"/>
        </w:rPr>
        <w:t xml:space="preserve">confirmar que el acta es anterior al egreso</w:t>
      </w:r>
      <w:r>
        <w:rPr>
          <w:rFonts w:ascii="Times New Roman" w:eastAsia="Arial" w:hAnsi="Times New Roman" w:cs="Times New Roman"/>
          <w:sz w:val="24"/>
          <w:szCs w:val="24"/>
          <w:lang w:val="es-CO"/>
        </w:rPr>
        <w:t xml:space="preserve">. El informe de actividades y el formato de supervisión se incorporaron después; la entidad los exigirá como requisito previo de pago. Se anexa la relación de equipos con marca, modelo, serial y sede de destino </w:t>
      </w:r>
      <w:r>
        <w:rPr>
          <w:rFonts w:ascii="Times New Roman" w:eastAsia="Arial" w:hAnsi="Times New Roman" w:cs="Times New Roman"/>
          <w:highlight w:val="yellow"/>
          <w:sz w:val="24"/>
          <w:szCs w:val="24"/>
          <w:lang w:val="es-CO"/>
        </w:rPr>
        <w:t xml:space="preserve">y registro fotográfico, si existe</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tab/>
      </w:r>
      <w:r>
        <w:rPr>
          <w:rFonts w:ascii="Times New Roman" w:eastAsia="Arial" w:hAnsi="Times New Roman" w:cs="Times New Roman"/>
          <w:sz w:val="24"/>
          <w:szCs w:val="24"/>
          <w:lang w:val="es-CO"/>
        </w:rPr>
        <w:t xml:space="preserve">Formato de supervisión. El correo registrado no era el de la contratista y fue corregido con el formato complementario del 5 de octubre de 2026. Se usó la plantilla de prestación de servicios; la entidad adoptará un formato propio para suministros. </w:t>
      </w:r>
      <w:r>
        <w:rPr>
          <w:rFonts w:ascii="Times New Roman" w:eastAsia="Arial" w:hAnsi="Times New Roman" w:cs="Times New Roman"/>
          <w:highlight w:val="yellow"/>
          <w:sz w:val="24"/>
          <w:szCs w:val="24"/>
          <w:lang w:val="es-CO"/>
        </w:rPr>
        <w:t xml:space="preserve">La solicitud del 2 de octubre y la constancia del 5 de octubre de 2026 dicen "señor Chinquinquira" y "Contrato de Prestación de Servicios": corregirlas antes de anexarlas, porque repiten el error que aquí se explica.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tab/>
      </w:r>
      <w:r>
        <w:rPr>
          <w:rFonts w:ascii="Times New Roman" w:eastAsia="Arial" w:hAnsi="Times New Roman" w:cs="Times New Roman"/>
          <w:sz w:val="24"/>
          <w:szCs w:val="24"/>
          <w:lang w:val="es-CO"/>
        </w:rPr>
        <w:t xml:space="preserve">Estampillas. Solo se descontó la Estampilla Pro-Hospital Erasmo Meoz ($879.800). La entidad reconoció el 5 de octubre de 2026 que la liquidación fue incompleta: verificará con la Secretaría de Hacienda departamental el estatuto vigente en la fecha del hecho generador (Pro-Cultura, Pro-Adulto Mayor, Pro-UFPS y Tasa Prodeporte) y liquidará y trasladará los valores que resulten </w:t>
      </w:r>
      <w:r>
        <w:rPr>
          <w:rFonts w:ascii="Times New Roman" w:eastAsia="Arial" w:hAnsi="Times New Roman" w:cs="Times New Roman"/>
          <w:highlight w:val="yellow"/>
          <w:sz w:val="24"/>
          <w:szCs w:val="24"/>
          <w:lang w:val="es-CO"/>
        </w:rPr>
        <w:t xml:space="preserve">indicar quién asume los valores y el plazo</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w:t>
        <w:tab/>
      </w:r>
      <w:r>
        <w:rPr>
          <w:rFonts w:ascii="Times New Roman" w:eastAsia="Arial" w:hAnsi="Times New Roman" w:cs="Times New Roman"/>
          <w:sz w:val="24"/>
          <w:szCs w:val="24"/>
          <w:lang w:val="es-CO"/>
        </w:rPr>
        <w:t xml:space="preserve">Garantía. Se anexa la póliza N° 460-47-994000091804 de Aseguradora Solidaria, del 9 de octubre de 2025, con amparos de cumplimiento y calidad del bien por $4.632.130 cada uno y vigencia del 7 de octubre de 2025 al 7 de mayo de 2026, junto con el acta de aprobación del 9 de octubre de 2025, en la que el número de la póliza y la denominación del amparo de calidad presentan errores de transcripción que no afectan la identificación de la garantía. La póliza de responsabilidad civil extracontractual fue remitida con anterioridad.</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del capítulo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Estudio previo.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Invitación privada N° 017 de 2025, propuesta, acta de cierre e informe de evaluación.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Constancia de recibo, traslado y manifestación sobre el informe de evaluación.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Respuesta técnica, jurídica y subsanación definitiva suscrita por la Gerente y la supervisora. </w:t>
      </w:r>
      <w:r>
        <w:rPr>
          <w:rFonts w:ascii="Times New Roman" w:eastAsia="Arial" w:hAnsi="Times New Roman" w:cs="Times New Roman"/>
          <w:highlight w:val="yellow"/>
          <w:sz w:val="24"/>
          <w:szCs w:val="24"/>
          <w:lang w:val="es-CO"/>
        </w:rPr>
        <w:t xml:space="preserve">Antes de anexarla, ajustar cuatro menciones que contradicen este oficio: cita el artículo 34 del Manual y el artículo 24 de la Ley 80 de 1993, inaplicable a la E.S.E.; habla de pluralidad de oferentes cuando hubo una sola propuesta; y fecha la suscripción del contrato el 9 de octubre de 2025, cuando la póliza, el formato de supervisión y el RP indican el 7 de octubre. Si no se ajusta, es preferible no anexarla: este oficio es la respuesta.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CDP N° 1329 y RP del 7 de octubre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Designación de la supervisora del 7 de octubre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Póliza N° 460-47-994000091804 de Aseguradora Solidaria de Colombia y acta de aprobación de pólizas del 9 de octubre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sz w:val="24"/>
          <w:szCs w:val="24"/>
          <w:lang w:val="es-CO"/>
        </w:rPr>
        <w:t xml:space="preserve">Factura FE-2920, comprobante FCAF-53, acta de recibo final y comprobante de egreso.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sz w:val="24"/>
          <w:szCs w:val="24"/>
          <w:lang w:val="es-CO"/>
        </w:rPr>
        <w:t xml:space="preserve">Relación de equipos con seriales y sede de destino.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10.</w:t>
        <w:tab/>
      </w:r>
      <w:r>
        <w:rPr>
          <w:rFonts w:ascii="Times New Roman" w:eastAsia="Arial" w:hAnsi="Times New Roman" w:cs="Times New Roman"/>
          <w:sz w:val="24"/>
          <w:szCs w:val="24"/>
          <w:lang w:val="es-CO"/>
        </w:rPr>
        <w:t xml:space="preserve">Solicitud de subsanación del 2 de octubre de 2026, constancia del 5 de octubre de 2026 y formato de supervisión complementario.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11.</w:t>
        <w:tab/>
      </w:r>
      <w:r>
        <w:rPr>
          <w:rFonts w:ascii="Times New Roman" w:eastAsia="Arial" w:hAnsi="Times New Roman" w:cs="Times New Roman"/>
          <w:sz w:val="24"/>
          <w:szCs w:val="24"/>
          <w:lang w:val="es-CO"/>
        </w:rPr>
        <w:t xml:space="preserve">Comunicación de la Gerente del 5 de octubre de 2026 sobre los descuentos de estampillas.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highlight w:val="yellow"/>
          <w:sz w:val="24"/>
          <w:szCs w:val="24"/>
          <w:lang w:val="es-CO"/>
        </w:rPr>
        <w:t xml:space="preserve">Nota de trabajo, retirar antes de radicar: ya están en la carpeta los anexos 3, 4, 7, 10 y 11; faltan los anexos 1, 2, 5, 6, 8 y 9. Verificar que existan y se anexen.</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Síntesis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Las observaciones recaen sobre aspectos formales de los documentos del expediente y no sobre el resultado de la gestión fiscal: la entidad adquirió la dotación informática que necesitaba, por un valor inferior al presupuesto estimado, con respaldo presupuestal previo al compromiso; los bienes ingresaron al almacén, fueron recibidos y están al servicio de los Equipos Básicos en Salud, y se pagó exactamente el valor pactado. No concurren, por tanto, el daño patrimonial ni la conducta dolosa o gravemente culposa que exige la responsabilidad fiscal (Ley 610 de 2000, artículo 5, modificado por el artículo 125 del Decreto Ley 403 de 2020). Las imprecisiones advertidas fueron identificadas y corregidas por la propia entidad durante el proceso auditor y antes del informe preliminar, y las que dependen de terceros, la corrección del formato de rendición y la liquidación de los descuentos departamentales, están en trámite en los términos indicados. La entidad solicita que esta gestión se valore como beneficio del control fiscal.</w:t>
      </w:r>
    </w:p>
    <w:p>
      <w:pPr>
        <w:keepNext/>
        <w:spacing w:before="24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II. Contrato de Suministro N° 1058 de 2025 (material médico quirúrgico y de laboratorio, COHOSAN)</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tuvo por objeto el suministro de material médico quirúrgico y de laboratorio para la red hospitalaria. Se celebró con la Cooperativa de Hospitales de Santander y el Nororiente Colombiano, COHOSAN, NIT 804.009.200-4, </w:t>
      </w:r>
      <w:r>
        <w:rPr>
          <w:rFonts w:ascii="Times New Roman" w:eastAsia="Arial" w:hAnsi="Times New Roman" w:cs="Times New Roman"/>
          <w:highlight w:val="yellow"/>
          <w:sz w:val="24"/>
          <w:szCs w:val="24"/>
          <w:lang w:val="es-CO"/>
        </w:rPr>
        <w:t xml:space="preserve">de la que la E.S.E. es asociada,</w:t>
      </w:r>
      <w:r>
        <w:rPr>
          <w:rFonts w:ascii="Times New Roman" w:eastAsia="Arial" w:hAnsi="Times New Roman" w:cs="Times New Roman"/>
          <w:sz w:val="24"/>
          <w:szCs w:val="24"/>
          <w:lang w:val="es-CO"/>
        </w:rPr>
        <w:t xml:space="preserve"> por $40.000.000, mediante contratación directa por las causales del Manual de Contratación para contratos con cooperativas asociadas y para el suministro de medicamentos, elementos hospitalarios y de laboratorio. CDP N° 1586 del 5 de diciembre de 2025 y RP N° 1585 del 11 de diciembre de 2025, rubros 2.4.5.01.04.02 ($15.000.000) y 2.4.5.01.04.03 ($25.000.000). Acta de inicio del 15 de diciembre de 2025, plazo máximo de veintiún días; quince facturas del 15 y 16 de diciembre; acta de recibo final y de liquidación del 30 de diciembre de 2025 por $39.998.124, con liberación de $1.876; egreso CE-10343 del 30 de diciembre de 2025, girado el 13 de enero de 2026 por $38.259.480.</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y formato de rendición. El contrato se celebró por contratación directa con fundamento en las causales del Manual </w:t>
      </w:r>
      <w:r>
        <w:rPr>
          <w:rFonts w:ascii="Times New Roman" w:eastAsia="Arial" w:hAnsi="Times New Roman" w:cs="Times New Roman"/>
          <w:highlight w:val="yellow"/>
          <w:sz w:val="24"/>
          <w:szCs w:val="24"/>
          <w:lang w:val="es-CO"/>
        </w:rPr>
        <w:t xml:space="preserve">numerales, confirmar numeración vigente</w:t>
      </w:r>
      <w:r>
        <w:rPr>
          <w:rFonts w:ascii="Times New Roman" w:eastAsia="Arial" w:hAnsi="Times New Roman" w:cs="Times New Roman"/>
          <w:sz w:val="24"/>
          <w:szCs w:val="24"/>
          <w:lang w:val="es-CO"/>
        </w:rPr>
        <w:t xml:space="preserve">, procedente aunque el valor esté en el rango de la mínima cuantía. La expresión "invitación directa por régimen especial" del acta de liquidación es un error mecanográfico corregido en el acta aclaratoria. En el formato de rendición, "SIN OFERTAS" corresponde, según lo entiende la entidad, a la opción para contratos sin convocatoria; el rubro, el plazo de veinte días y la fecha de terminación sí son errores. Se solicita indicar el procedimiento de corrección. Se anexa la comunicación sobre la Inconsistencia N° 8 con el CDP y el RP.</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Estudio previo. La cita del Acuerdo 026 de 2022, la discordancia entre letras y números, la matriz de riesgos y el plazo al 31 de diciembre son residuos de plantilla ya aclarados el 29 de septiembre. La necesidad se acredita con el ingreso, el recibo y los kardex. Como mejora, los estudios previos de suministro incluirán cantidades y precios por ítem.</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Minuta del contrato. Las menciones a insumos farmacéuticos, odontología, equipos, Decreto 734 de 2012 y prestación de servicios provienen de plantillas. El acta aclaratoria precisa que se trata de un contrato de suministro de material médico quirúrgico y de laboratorio, regido por el derecho privado y el Manual, sin alterar objeto, valor ni demás cláusulas. </w:t>
      </w:r>
      <w:r>
        <w:rPr>
          <w:rFonts w:ascii="Times New Roman" w:eastAsia="Arial" w:hAnsi="Times New Roman" w:cs="Times New Roman"/>
          <w:highlight w:val="yellow"/>
          <w:sz w:val="24"/>
          <w:szCs w:val="24"/>
          <w:lang w:val="es-CO"/>
        </w:rPr>
        <w:t xml:space="preserve">Antes de anexarla, corregir sus cláusulas segunda y tercera, y fecharla y firmarla en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Garantía. Se anexa la garantía N° 4416662 de Seguros Generales Suramericana S.A.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amparos de </w:t>
      </w:r>
      <w:r>
        <w:rPr>
          <w:rFonts w:ascii="Times New Roman" w:eastAsia="Arial" w:hAnsi="Times New Roman" w:cs="Times New Roman"/>
          <w:highlight w:val="yellow"/>
          <w:sz w:val="24"/>
          <w:szCs w:val="24"/>
          <w:lang w:val="es-CO"/>
        </w:rPr>
        <w:t xml:space="preserve">denominación</w:t>
      </w:r>
      <w:r>
        <w:rPr>
          <w:rFonts w:ascii="Times New Roman" w:eastAsia="Arial" w:hAnsi="Times New Roman" w:cs="Times New Roman"/>
          <w:sz w:val="24"/>
          <w:szCs w:val="24"/>
          <w:lang w:val="es-CO"/>
        </w:rPr>
        <w:t xml:space="preserve"> por $4.000.000 cada uno y vigencia </w:t>
      </w:r>
      <w:r>
        <w:rPr>
          <w:rFonts w:ascii="Times New Roman" w:eastAsia="Arial" w:hAnsi="Times New Roman" w:cs="Times New Roman"/>
          <w:highlight w:val="yellow"/>
          <w:sz w:val="24"/>
          <w:szCs w:val="24"/>
          <w:lang w:val="es-CO"/>
        </w:rPr>
        <w:t xml:space="preserve">fechas</w:t>
      </w:r>
      <w:r>
        <w:rPr>
          <w:rFonts w:ascii="Times New Roman" w:eastAsia="Arial" w:hAnsi="Times New Roman" w:cs="Times New Roman"/>
          <w:sz w:val="24"/>
          <w:szCs w:val="24"/>
          <w:lang w:val="es-CO"/>
        </w:rPr>
        <w:t xml:space="preserve">, y su acta de aprobación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Egreso CE-10343 y descuentos. El concepto del comprobante fue corregido por fe de erratas; su valor bruto, $39.998.124, y las quince facturas lo identifican con este contrato. Se practicó retención de IVA del 15% ($69.711); no se retuvo renta porque la cooperativa pertenece al régimen tributario especial (E.T., artículo 19-4) </w:t>
      </w:r>
      <w:r>
        <w:rPr>
          <w:rFonts w:ascii="Times New Roman" w:eastAsia="Arial" w:hAnsi="Times New Roman" w:cs="Times New Roman"/>
          <w:highlight w:val="yellow"/>
          <w:sz w:val="24"/>
          <w:szCs w:val="24"/>
          <w:lang w:val="es-CO"/>
        </w:rPr>
        <w:t xml:space="preserve">anexar RUT</w:t>
      </w:r>
      <w:r>
        <w:rPr>
          <w:rFonts w:ascii="Times New Roman" w:eastAsia="Arial" w:hAnsi="Times New Roman" w:cs="Times New Roman"/>
          <w:sz w:val="24"/>
          <w:szCs w:val="24"/>
          <w:lang w:val="es-CO"/>
        </w:rPr>
        <w:t xml:space="preserve">. La estampilla Pro-Hospital ($741.748) y la Tasa Prodeporte ($927.185) se liquidaron sobre la base excluida de IVA. La entidad entiende que el contrato está excluido de estampillas por el artículo 340, numeral 4, de la Ordenanza 018 de 2025 </w:t>
      </w:r>
      <w:r>
        <w:rPr>
          <w:rFonts w:ascii="Times New Roman" w:eastAsia="Arial" w:hAnsi="Times New Roman" w:cs="Times New Roman"/>
          <w:highlight w:val="yellow"/>
          <w:sz w:val="24"/>
          <w:szCs w:val="24"/>
          <w:lang w:val="es-CO"/>
        </w:rPr>
        <w:t xml:space="preserve">verificar si la tasa tiene exclusión propia</w:t>
      </w:r>
      <w:r>
        <w:rPr>
          <w:rFonts w:ascii="Times New Roman" w:eastAsia="Arial" w:hAnsi="Times New Roman" w:cs="Times New Roman"/>
          <w:sz w:val="24"/>
          <w:szCs w:val="24"/>
          <w:lang w:val="es-CO"/>
        </w:rPr>
        <w:t xml:space="preserve">; somete esta interpretación al equipo auditor, pedirá concepto a la Secretaría de Hacienda y, según el resultado, reintegrará a la cooperativa o trasladará al Departamento las diferencias </w:t>
      </w:r>
      <w:r>
        <w:rPr>
          <w:rFonts w:ascii="Times New Roman" w:eastAsia="Arial" w:hAnsi="Times New Roman" w:cs="Times New Roman"/>
          <w:highlight w:val="yellow"/>
          <w:sz w:val="24"/>
          <w:szCs w:val="24"/>
          <w:lang w:val="es-CO"/>
        </w:rPr>
        <w:t xml:space="preserve">indicar si los valores ya fueron trasladados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Facturas y comprobantes de entrada. Se anexan las quince facturas FVE-124898 a FVE-125023 y los comprobantes FCF-1064 a FCF-1078, por $39.998.124 en total, detallados en la comunicación del 5 de octubre de 2026. "FVE1224926" es un error tipográfico por FVE-124926, corregido en el acta aclaratoria. </w:t>
      </w:r>
      <w:r>
        <w:rPr>
          <w:rFonts w:ascii="Times New Roman" w:eastAsia="Arial" w:hAnsi="Times New Roman" w:cs="Times New Roman"/>
          <w:highlight w:val="yellow"/>
          <w:sz w:val="24"/>
          <w:szCs w:val="24"/>
          <w:lang w:val="es-CO"/>
        </w:rPr>
        <w:t xml:space="preserve">Si se anexan los comprobantes, advertir el ajuste del FCF-1076 y la fecha del FCF-1070.</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Informes de actividades y de supervisión; seguridad social. Los errores del formato de supervisión se aclararon el 29 de septiembre (inicio 15 de diciembre; CDP 1586; RP 1585; valor $39.998.124; sede Gramalote). Se precisa que la acreditación de aportes sí aplica y se cumplió con la certificación del revisor fiscal del 1 de diciembre de 2025 y las planillas de noviembre y diciembre,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Plazo. Veintiún días desde el 15 de diciembre de 2025; entregas el 15 y 16 de diciembre; recibo y liquidación el 30 de diciembre, dentro de la vigencia. Los "dieciséis días" del acta de liquidación son los días transcurridos, no el plazo pactado. El giro del 13 de enero de 2026 se hizo con cargo a las cuentas por pagar de la vigencia </w:t>
      </w:r>
      <w:r>
        <w:rPr>
          <w:rFonts w:ascii="Times New Roman" w:eastAsia="Arial" w:hAnsi="Times New Roman" w:cs="Times New Roman"/>
          <w:highlight w:val="yellow"/>
          <w:sz w:val="24"/>
          <w:szCs w:val="24"/>
          <w:lang w:val="es-CO"/>
        </w:rPr>
        <w:t xml:space="preserve">anexar relación; si no existe, suprimir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tab/>
      </w:r>
      <w:r>
        <w:rPr>
          <w:rFonts w:ascii="Times New Roman" w:eastAsia="Arial" w:hAnsi="Times New Roman" w:cs="Times New Roman"/>
          <w:sz w:val="24"/>
          <w:szCs w:val="24"/>
          <w:lang w:val="es-CO"/>
        </w:rPr>
        <w:t xml:space="preserve">Referencias erróneas en los documentos de pago. Las citas a los contratos 1085 y 1052, al RP 1323, al CDP 1574 y al rubro 2.4.5.01.02.01 son residuos de plantilla corregidos por la fe de erratas. Los únicos del contrato son el CDP 1586, el RP 1585 y los rubros 2.4.5.01.04.02 y 2.4.5.01.04.03; el saldo liberado, $1.876, coincide con el acta de liquidación. Se anexa certificación financiera y presupuestal </w:t>
      </w:r>
      <w:r>
        <w:rPr>
          <w:rFonts w:ascii="Times New Roman" w:eastAsia="Arial" w:hAnsi="Times New Roman" w:cs="Times New Roman"/>
          <w:highlight w:val="yellow"/>
          <w:sz w:val="24"/>
          <w:szCs w:val="24"/>
          <w:lang w:val="es-CO"/>
        </w:rPr>
        <w:t xml:space="preserve">reexpedir con fecha de 2026 y sin la expresión "variación en la afectación entre subrubros"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tab/>
      </w:r>
      <w:r>
        <w:rPr>
          <w:rFonts w:ascii="Times New Roman" w:eastAsia="Arial" w:hAnsi="Times New Roman" w:cs="Times New Roman"/>
          <w:sz w:val="24"/>
          <w:szCs w:val="24"/>
          <w:lang w:val="es-CO"/>
        </w:rPr>
        <w:t xml:space="preserve">Medicamentos e imputación entre rubros. Se recibieron Alacramyn (diez viales, $7.397.310), lactato de Ringer ($106.998) y agua estéril ($4.160), total $7.508.468, para el servicio de urgencias; ingresaron al almacén y se consumieron según los kardex. La causal del Manual que amparó la contratación comprende el suministro de medicamentos, de modo que proveedor y modalidad eran los mismos; no hay daño patrimonial y la deficiencia es que el objeto no los describió. Ningún rubro se excedió ($14.999.647 de $15.000.000 y $24.998.477 de $25.000.000), sin traslados; la entidad reconoce una deficiencia de clasificación por $4.368.205 de laboratorio cargados a material médico quirúrgico. Como mejora, los estudios previos delimitarán objeto y rubro por tipo de bien.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tab/>
      </w:r>
      <w:r>
        <w:rPr>
          <w:rFonts w:ascii="Times New Roman" w:eastAsia="Arial" w:hAnsi="Times New Roman" w:cs="Times New Roman"/>
          <w:sz w:val="24"/>
          <w:szCs w:val="24"/>
          <w:lang w:val="es-CO"/>
        </w:rPr>
        <w:t xml:space="preserve">Acta de recibo final y registro fotográfico. Se anexa el acta del 30 de diciembre de 2025, que relaciona todos los ítems por factura; sus residuos de formato se corrigen en el acta aclaratoria </w:t>
      </w:r>
      <w:r>
        <w:rPr>
          <w:rFonts w:ascii="Times New Roman" w:eastAsia="Arial" w:hAnsi="Times New Roman" w:cs="Times New Roman"/>
          <w:highlight w:val="yellow"/>
          <w:sz w:val="24"/>
          <w:szCs w:val="24"/>
          <w:lang w:val="es-CO"/>
        </w:rPr>
        <w:t xml:space="preserve">extenderla al acta de recibo final</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Registro fotográfico: anexar si existe; si no, indicar que la entrega se acredita con ingresos, kardex y acta.</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del capítulo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Acta aclaratoria al contrato y acta aclaratoria al acta de liquidación y de recibo final.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Comunicación y certificación sobre la Inconsistencia N° 8, con CDP N° 1586 y RP N° 1585.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Certificación financiera y presupuestal de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Justificación técnica, asistencial y presupuestal, con los tres kardex.</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Acta de recibo final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Garantía N° 4416662 y acta de aprobación.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Quince facturas FVE y quince comprobantes de ingreso FCF-1064 a FCF-1078.</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sz w:val="24"/>
          <w:szCs w:val="24"/>
          <w:lang w:val="es-CO"/>
        </w:rPr>
        <w:t xml:space="preserve">Certificación del revisor fiscal de COHOSAN y planillas de noviembre y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sz w:val="24"/>
          <w:szCs w:val="24"/>
          <w:lang w:val="es-CO"/>
        </w:rPr>
        <w:t xml:space="preserve">Comunicación del 5 de octubre de 2026 sobre el egreso CE-10343, con el comprobante y la fe de erratas.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10.</w:t>
        <w:tab/>
      </w:r>
      <w:r>
        <w:rPr>
          <w:rFonts w:ascii="Times New Roman" w:eastAsia="Arial" w:hAnsi="Times New Roman" w:cs="Times New Roman"/>
          <w:sz w:val="24"/>
          <w:szCs w:val="24"/>
          <w:lang w:val="es-CO"/>
        </w:rPr>
        <w:t xml:space="preserve">Certificado de asociación, certificado de existencia y representación y RUT de COHOSAN.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highlight w:val="yellow"/>
          <w:sz w:val="24"/>
          <w:szCs w:val="24"/>
          <w:lang w:val="es-CO"/>
        </w:rPr>
        <w:t xml:space="preserve">Nota de trabajo, retirar antes de radicar: los anexos 6, 7, 8 y 10 no están en la carpeta compartida; el 1 y el 3 deben corregirse y fecharse en 2026; el 2 debe depurarse (residuos "[cite]" y numeral 4).</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Síntesis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Las observaciones recaen sobre aspectos formales de los documentos del expediente y sobre la descripción del objeto, no sobre el resultado de la gestión fiscal: los bienes fueron facturados, ingresaron al almacén, se recibieron a satisfacción y se consumieron en la prestación del servicio dentro de la vigencia; se pagó exactamente el valor recibido, $39.998.124, sin exceder ninguno de los dos rubros del registro presupuestal, y el saldo se liberó. No concurren, por tanto, el daño patrimonial ni la conducta dolosa o gravemente culposa que exige la responsabilidad fiscal (Ley 610 de 2000, artículo 5, modificado por el artículo 125 del Decreto Ley 403 de 2020). Las imprecisiones advertidas fueron identificadas y corregidas por la propia entidad durante el proceso auditor y antes del informe preliminar, y las que dependen de terceros, la corrección del formato de rendición y la definición de los descuentos departamentales, están en trámite en los términos indicados. La entidad solicita que esta gestión se valore como beneficio del control fiscal.</w:t>
      </w:r>
    </w:p>
    <w:p>
      <w:pPr>
        <w:keepNext/>
        <w:spacing w:before="24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III. Contrato de Compraventa N° 1056 de 2025 (ambulancia básica, Import Medical Supplies S.A.S.)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se celebró el 16 de diciembre de 2025 con Import Medical Supplies S.A.S., NIT 900.848.658-0, por $285.781.351, para la adquisición y dotación de una ambulancia de transporte asistencial básico para el servicio de salud que la E.S.E. presta en el municipio de San Cayetano, con recursos asignados por la Resolución 1947 de 2025 del Ministerio de Salud y Protección Social y recursos propios </w:t>
      </w:r>
      <w:r>
        <w:rPr>
          <w:rFonts w:ascii="Times New Roman" w:eastAsia="Arial" w:hAnsi="Times New Roman" w:cs="Times New Roman"/>
          <w:highlight w:val="yellow"/>
          <w:sz w:val="24"/>
          <w:szCs w:val="24"/>
          <w:lang w:val="es-CO"/>
        </w:rPr>
        <w:t xml:space="preserve">CDP y RP, números y fechas</w:t>
      </w:r>
      <w:r>
        <w:rPr>
          <w:rFonts w:ascii="Times New Roman" w:eastAsia="Arial" w:hAnsi="Times New Roman" w:cs="Times New Roman"/>
          <w:sz w:val="24"/>
          <w:szCs w:val="24"/>
          <w:lang w:val="es-CO"/>
        </w:rPr>
        <w:t xml:space="preserve">. El precio se pagó en un solo pago el 26 de diciembre de 2025, mediante los comprobantes de egreso CE-10213 (recursos propios) y CE-10217 (recursos de la Resolución 1947 de 2025), con los soportes previstos en la cláusula sexta: la factura FEI2168, el comprobante FCAF-55 con el que el almacén registró el activo, el registro fotográfico del chasis y el informe de supervisión del primer periodo, y con la garantía de cumplimiento del 30% vigente (póliza N° 53-44-101042119 de Seguros del Estado S.A.) </w:t>
      </w:r>
      <w:r>
        <w:rPr>
          <w:rFonts w:ascii="Times New Roman" w:eastAsia="Arial" w:hAnsi="Times New Roman" w:cs="Times New Roman"/>
          <w:highlight w:val="yellow"/>
          <w:sz w:val="24"/>
          <w:szCs w:val="24"/>
          <w:lang w:val="es-CO"/>
        </w:rPr>
        <w:t xml:space="preserve">confirmar en la cláusula sexta la oportunidad pactada para el pago único; si la Resolución 1947 de 2025 exigía ejecutar los recursos dentro de la vigencia 2025, citarlo aquí</w:t>
      </w:r>
      <w:r>
        <w:rPr>
          <w:rFonts w:ascii="Times New Roman" w:eastAsia="Arial" w:hAnsi="Times New Roman" w:cs="Times New Roman"/>
          <w:sz w:val="24"/>
          <w:szCs w:val="24"/>
          <w:lang w:val="es-CO"/>
        </w:rPr>
        <w:t xml:space="preserve">. La entrega física y la verificación técnica se realizaron el 16 de enero de 2026, los elementos pendientes se recibieron el 22 de enero y la matrícula a nombre de la entidad se inscribió el 30 de enero de 2026, dentro del plazo contractual que vencía el 31 de enero de 2026.</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de contratación. El contrato se celebró por contratación directa con fundamento en el numeral </w:t>
      </w:r>
      <w:r>
        <w:rPr>
          <w:rFonts w:ascii="Times New Roman" w:eastAsia="Arial" w:hAnsi="Times New Roman" w:cs="Times New Roman"/>
          <w:highlight w:val="yellow"/>
          <w:sz w:val="24"/>
          <w:szCs w:val="24"/>
          <w:lang w:val="es-CO"/>
        </w:rPr>
        <w:t xml:space="preserve">30.2.10 o 29.2.10, según la versión del Manual vigente el 16 de diciembre de 2025: Resolución 002 de 2023, modificada por la Resolución 143 de 2025</w:t>
      </w:r>
      <w:r>
        <w:rPr>
          <w:rFonts w:ascii="Times New Roman" w:eastAsia="Arial" w:hAnsi="Times New Roman" w:cs="Times New Roman"/>
          <w:sz w:val="24"/>
          <w:szCs w:val="24"/>
          <w:lang w:val="es-CO"/>
        </w:rPr>
        <w:t xml:space="preserve"> del Manual de Contratación, que autoriza esa modalidad para </w:t>
      </w:r>
      <w:r>
        <w:rPr>
          <w:rFonts w:ascii="Times New Roman" w:eastAsia="Arial" w:hAnsi="Times New Roman" w:cs="Times New Roman"/>
          <w:highlight w:val="yellow"/>
          <w:sz w:val="24"/>
          <w:szCs w:val="24"/>
          <w:lang w:val="es-CO"/>
        </w:rPr>
        <w:t xml:space="preserve">transcribir literalmente la causal</w:t>
      </w:r>
      <w:r>
        <w:rPr>
          <w:rFonts w:ascii="Times New Roman" w:eastAsia="Arial" w:hAnsi="Times New Roman" w:cs="Times New Roman"/>
          <w:sz w:val="24"/>
          <w:szCs w:val="24"/>
          <w:lang w:val="es-CO"/>
        </w:rPr>
        <w:t xml:space="preserve">, supuesto que se cumple con la Resolución 1947 de 2025, que asignó los recursos con destinación específica </w:t>
      </w:r>
      <w:r>
        <w:rPr>
          <w:rFonts w:ascii="Times New Roman" w:eastAsia="Arial" w:hAnsi="Times New Roman" w:cs="Times New Roman"/>
          <w:highlight w:val="yellow"/>
          <w:sz w:val="24"/>
          <w:szCs w:val="24"/>
          <w:lang w:val="es-CO"/>
        </w:rPr>
        <w:t xml:space="preserve">y plazo de ejecución, citar</w:t>
      </w:r>
      <w:r>
        <w:rPr>
          <w:rFonts w:ascii="Times New Roman" w:eastAsia="Arial" w:hAnsi="Times New Roman" w:cs="Times New Roman"/>
          <w:sz w:val="24"/>
          <w:szCs w:val="24"/>
          <w:lang w:val="es-CO"/>
        </w:rPr>
        <w:t xml:space="preserve">. El Manual, adoptado conforme a los lineamientos de la Resolución 5185 de 2013 del Ministerio de Salud y Protección Social, permite la contratación directa cuando se configura una de sus causales, con independencia de la cuantía. La causal consta en la parte considerativa del contrato </w:t>
      </w:r>
      <w:r>
        <w:rPr>
          <w:rFonts w:ascii="Times New Roman" w:eastAsia="Arial" w:hAnsi="Times New Roman" w:cs="Times New Roman"/>
          <w:highlight w:val="yellow"/>
          <w:sz w:val="24"/>
          <w:szCs w:val="24"/>
          <w:lang w:val="es-CO"/>
        </w:rPr>
        <w:t xml:space="preserve">y en los estudios previos, solo si se confirma</w:t>
      </w:r>
      <w:r>
        <w:rPr>
          <w:rFonts w:ascii="Times New Roman" w:eastAsia="Arial" w:hAnsi="Times New Roman" w:cs="Times New Roman"/>
          <w:sz w:val="24"/>
          <w:szCs w:val="24"/>
          <w:lang w:val="es-CO"/>
        </w:rPr>
        <w:t xml:space="preserve">, y el valor se fijó con base en </w:t>
      </w:r>
      <w:r>
        <w:rPr>
          <w:rFonts w:ascii="Times New Roman" w:eastAsia="Arial" w:hAnsi="Times New Roman" w:cs="Times New Roman"/>
          <w:highlight w:val="yellow"/>
          <w:sz w:val="24"/>
          <w:szCs w:val="24"/>
          <w:lang w:val="es-CO"/>
        </w:rPr>
        <w:t xml:space="preserve">las cotizaciones / el estudio de mercado</w:t>
      </w:r>
      <w:r>
        <w:rPr>
          <w:rFonts w:ascii="Times New Roman" w:eastAsia="Arial" w:hAnsi="Times New Roman" w:cs="Times New Roman"/>
          <w:sz w:val="24"/>
          <w:szCs w:val="24"/>
          <w:lang w:val="es-CO"/>
        </w:rPr>
        <w:t xml:space="preserve"> de los estudios previos. Como acción de mejora, la entidad dejará en cada expediente un acto de justificación expreso de la modalidad.</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Tradición del vehículo. La E.S.E. es propietaria inscrita de la ambulancia de placa NSX651, según la licencia de tránsito N° 10037693011, expedida el 30 de enero de 2026 a nombre de la E.S.E. Hospital Regional Centro, NIT 807.008.824-</w:t>
      </w:r>
      <w:r>
        <w:rPr>
          <w:rFonts w:ascii="Times New Roman" w:eastAsia="Arial" w:hAnsi="Times New Roman" w:cs="Times New Roman"/>
          <w:highlight w:val="yellow"/>
          <w:sz w:val="24"/>
          <w:szCs w:val="24"/>
          <w:lang w:val="es-CO"/>
        </w:rPr>
        <w:t xml:space="preserve">DV según RUT</w:t>
      </w:r>
      <w:r>
        <w:rPr>
          <w:rFonts w:ascii="Times New Roman" w:eastAsia="Arial" w:hAnsi="Times New Roman" w:cs="Times New Roman"/>
          <w:sz w:val="24"/>
          <w:szCs w:val="24"/>
          <w:lang w:val="es-CO"/>
        </w:rPr>
        <w:t xml:space="preserve">, y la consulta del RUNT generada por la entidad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que registra el vehículo activo, en servicio oficial, sin limitaciones a la propiedad, prenda ni embargo, con matrícula inicial del 9 de mayo de 2025 y los dos SOAT. La tradición del dominio de los automotores requiere la entrega material y la inscripción del título en el organismo de tránsito (Código de Comercio, artículo 922; Ley 769 de 2002, artículo 47); ambas se cumplieron a favor de la entidad el 16 y el 30 de enero de 2026, dentro del término legal. La entidad solicitó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al organismo de tránsito de Cáqueza el certificado de tradición del vehículo, que remitirá al recibirlo </w:t>
      </w:r>
      <w:r>
        <w:rPr>
          <w:rFonts w:ascii="Times New Roman" w:eastAsia="Arial" w:hAnsi="Times New Roman" w:cs="Times New Roman"/>
          <w:highlight w:val="yellow"/>
          <w:sz w:val="24"/>
          <w:szCs w:val="24"/>
          <w:lang w:val="es-CO"/>
        </w:rPr>
        <w:t xml:space="preserve">si se obtiene antes de radicar, anexarlo y redactar aquí la cadena de propietarios tal como la registre, indicando quién suscribió el traspaso como tradente</w:t>
      </w:r>
      <w:r>
        <w:rPr>
          <w:rFonts w:ascii="Times New Roman" w:eastAsia="Arial" w:hAnsi="Times New Roman" w:cs="Times New Roman"/>
          <w:sz w:val="24"/>
          <w:szCs w:val="24"/>
          <w:lang w:val="es-CO"/>
        </w:rPr>
        <w:t xml:space="preserve">. A requerimiento de la entidad del 2 de octubre de 2026, la contratista aportó el 6 de octubre de 2026 el contrato de compraventa suscrito con la primera propietaria y la consulta del RUNT, que se remiten en los términos recibidos </w:t>
      </w:r>
      <w:r>
        <w:rPr>
          <w:rFonts w:ascii="Times New Roman" w:eastAsia="Arial" w:hAnsi="Times New Roman" w:cs="Times New Roman"/>
          <w:highlight w:val="yellow"/>
          <w:sz w:val="24"/>
          <w:szCs w:val="24"/>
          <w:lang w:val="es-CO"/>
        </w:rPr>
        <w:t xml:space="preserve">antes de anexar: el contrato está fechado el 29 de abril de 2025 y cita la placa NSX651, asignada el 9 de mayo de 2025, y la respuesta dice que la venta fue posterior a la matrícula; exigir hoy a la contratista aclaración escrita de la fecha o declaración de la vendedora</w:t>
      </w:r>
      <w:r>
        <w:rPr>
          <w:rFonts w:ascii="Times New Roman" w:eastAsia="Arial" w:hAnsi="Times New Roman" w:cs="Times New Roman"/>
          <w:sz w:val="24"/>
          <w:szCs w:val="24"/>
          <w:lang w:val="es-CO"/>
        </w:rPr>
        <w:t xml:space="preserve">. En todo caso, la contratista, como vendedora, está obligada al saneamiento por evicción (Código Civil, artículos 1893 y siguientes, aplicables al contrato por remisión del artículo 822 del Código de Comercio).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Fecha de matrícula anterior al contrato. En su requerimiento del 2 de octubre de 2026 la entidad planteó a la contratista la hipótesis de un error de digitación en la licencia. Según el RUNT, la fecha "09/05/2025" no es un error: es la fecha de la matrícula inicial del automotor, que se conserva en los traspasos; según la contratista, esa matrícula la realizó la primera propietaria. Lo que varía es el propietario y la fecha de expedición de la licencia, 30 de enero de 2026. La referencia de aquel requerimiento a la "existencia del chasis" fue una imprecisión, pues el chasis se facturó el 23 de enero de 2025. Quedan así descartadas las hipótesis de error registral y de vacío de aseguramiento (literal d).</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SOAT. El vehículo contó con seguro obligatorio sin solución de continuidad (Ley 769 de 2002, artículo 42): el SOAT N° 41686458 de Seguros Generales Suramericana S.A., expedido el 25 de abril de 2025 y vigente del 27 de abril de 2025 al 26 de abril de 2026, lo amparaba en la entrega (16 de enero de 2026) y en el traspaso (30 de enero de 2026), y el SOAT N° 43089245, expedido el 15 de abril de 2026, rige del 27 de abril de 2026 al 26 de abril de 2027. Así lo acredita la consulta del RUNT generada por la entidad, pues la copia del primer SOAT no reposaba en el expediente. </w:t>
      </w:r>
      <w:r>
        <w:rPr>
          <w:rFonts w:ascii="Times New Roman" w:eastAsia="Arial" w:hAnsi="Times New Roman" w:cs="Times New Roman"/>
          <w:highlight w:val="yellow"/>
          <w:sz w:val="24"/>
          <w:szCs w:val="24"/>
          <w:lang w:val="es-CO"/>
        </w:rPr>
        <w:t xml:space="preserve">Verificar quién tomó y pagó el SOAT 43089245. Si lo pagó la contratista: "El SOAT N° 43089245 fue adquirido por la contratista en cumplimiento de la cláusula décima primera, según el soporte que se anexa." Si lo pagó la E.S.E.: no afirmar cumplimiento de la cláusula; decir que la obligación de la contratista de entregar el vehículo asegurado se cumplió con el SOAT vigente a la entrega y que la renovación anual corresponde al propietario, y evaluar si se exige el valor a la contratista.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Lámpara desmontable. El ítem "lámpara desmontable que permita su utilización a distancia del vehículo", marcado "no cumple" en la lista de chequeo del 16 de enero de 2026, fue atendido el 22 de enero de 2026, dentro del plazo contractual, con la entrega de una lámpara portátil con extensión, según el formato PL-FO-13 suscrito por el Líder de Almacén con registro fotográfico, que se anexa en su estado original. Como ese formato no registra el concepto de recibo ni la firma de la supervisora, se anexa la certificación de la supervisora del contrato del </w:t>
      </w:r>
      <w:r>
        <w:rPr>
          <w:rFonts w:ascii="Times New Roman" w:eastAsia="Arial" w:hAnsi="Times New Roman" w:cs="Times New Roman"/>
          <w:highlight w:val="yellow"/>
          <w:sz w:val="24"/>
          <w:szCs w:val="24"/>
          <w:lang w:val="es-CO"/>
        </w:rPr>
        <w:t xml:space="preserve">fecha de 2026</w:t>
      </w:r>
      <w:r>
        <w:rPr>
          <w:rFonts w:ascii="Times New Roman" w:eastAsia="Arial" w:hAnsi="Times New Roman" w:cs="Times New Roman"/>
          <w:sz w:val="24"/>
          <w:szCs w:val="24"/>
          <w:lang w:val="es-CO"/>
        </w:rPr>
        <w:t xml:space="preserve">, en la que consta que verificó el elemento recibido y que cumple la función de iluminación portátil a distancia del vehículo </w:t>
      </w:r>
      <w:r>
        <w:rPr>
          <w:rFonts w:ascii="Times New Roman" w:eastAsia="Arial" w:hAnsi="Times New Roman" w:cs="Times New Roman"/>
          <w:highlight w:val="yellow"/>
          <w:sz w:val="24"/>
          <w:szCs w:val="24"/>
          <w:lang w:val="es-CO"/>
        </w:rPr>
        <w:t xml:space="preserve">solo si la supervisora lo verifica y lo certifica; si el elemento no es idóneo, decir: "La entidad requirió a la contratista el (fecha) la reposición del elemento por uno que cumpla el estándar". No marcar casillas ni añadir firmas al formato del 22 de enero de 2026</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Lactato de Ringer. En el mismo formato del 22 de enero de 2026 consta la entrega de tres bolsas de lactato de Ringer </w:t>
      </w:r>
      <w:r>
        <w:rPr>
          <w:rFonts w:ascii="Times New Roman" w:eastAsia="Arial" w:hAnsi="Times New Roman" w:cs="Times New Roman"/>
          <w:highlight w:val="yellow"/>
          <w:sz w:val="24"/>
          <w:szCs w:val="24"/>
          <w:lang w:val="es-CO"/>
        </w:rPr>
        <w:t xml:space="preserve">lote y fecha de vencimiento, según el registro fotográfico o el kardex</w:t>
      </w:r>
      <w:r>
        <w:rPr>
          <w:rFonts w:ascii="Times New Roman" w:eastAsia="Arial" w:hAnsi="Times New Roman" w:cs="Times New Roman"/>
          <w:sz w:val="24"/>
          <w:szCs w:val="24"/>
          <w:lang w:val="es-CO"/>
        </w:rPr>
        <w:t xml:space="preserve">, en reemplazo de la unidad de la dotación inicial que vencía en febrero de 2026, con lo cual se atendió la observación de la lista de chequeo. </w:t>
      </w:r>
      <w:r>
        <w:rPr>
          <w:rFonts w:ascii="Times New Roman" w:eastAsia="Arial" w:hAnsi="Times New Roman" w:cs="Times New Roman"/>
          <w:highlight w:val="yellow"/>
          <w:sz w:val="24"/>
          <w:szCs w:val="24"/>
          <w:lang w:val="es-CO"/>
        </w:rPr>
        <w:t xml:space="preserve">Mencionar el control de inventario del servicio solo si se anexa el kardex o la certificación de la IPS San Cayetano.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Acta de entrega y recibo a satisfacción. El registro del activo consta en el comprobante FCAF-55 del 26 de diciembre de 2025; la entrega física y la verificación técnica, en la lista de chequeo PL-FO-12 del 16 de enero de 2026, suscrita por la Coordinadora de la IPS San Cayetano y el Líder de Almacén, que confrontó la totalidad de las especificaciones técnicas, de carrocería, dotación y equipo de carretera de la Resolución 3100 de 2019; los elementos pendientes, en el formato PL-FO-13 del 22 de enero de 2026; y la matrícula, en la licencia de tránsito del 30 de enero de 2026. La entidad reconoce que el acta de recibo a satisfacción prevista en la cláusula sexta no se levantó en su momento como documento único. Por ello el </w:t>
      </w:r>
      <w:r>
        <w:rPr>
          <w:rFonts w:ascii="Times New Roman" w:eastAsia="Arial" w:hAnsi="Times New Roman" w:cs="Times New Roman"/>
          <w:highlight w:val="yellow"/>
          <w:sz w:val="24"/>
          <w:szCs w:val="24"/>
          <w:lang w:val="es-CO"/>
        </w:rPr>
        <w:t xml:space="preserve">fecha de octubre de 2026</w:t>
      </w:r>
      <w:r>
        <w:rPr>
          <w:rFonts w:ascii="Times New Roman" w:eastAsia="Arial" w:hAnsi="Times New Roman" w:cs="Times New Roman"/>
          <w:sz w:val="24"/>
          <w:szCs w:val="24"/>
          <w:lang w:val="es-CO"/>
        </w:rPr>
        <w:t xml:space="preserve"> la supervisora, el Líder de Almacén </w:t>
      </w:r>
      <w:r>
        <w:rPr>
          <w:rFonts w:ascii="Times New Roman" w:eastAsia="Arial" w:hAnsi="Times New Roman" w:cs="Times New Roman"/>
          <w:highlight w:val="yellow"/>
          <w:sz w:val="24"/>
          <w:szCs w:val="24"/>
          <w:lang w:val="es-CO"/>
        </w:rPr>
        <w:t xml:space="preserve">y la contratista</w:t>
      </w:r>
      <w:r>
        <w:rPr>
          <w:rFonts w:ascii="Times New Roman" w:eastAsia="Arial" w:hAnsi="Times New Roman" w:cs="Times New Roman"/>
          <w:sz w:val="24"/>
          <w:szCs w:val="24"/>
          <w:lang w:val="es-CO"/>
        </w:rPr>
        <w:t xml:space="preserve"> suscribieron el acta de recibo a satisfacción </w:t>
      </w:r>
      <w:r>
        <w:rPr>
          <w:rFonts w:ascii="Times New Roman" w:eastAsia="Arial" w:hAnsi="Times New Roman" w:cs="Times New Roman"/>
          <w:highlight w:val="yellow"/>
          <w:sz w:val="24"/>
          <w:szCs w:val="24"/>
          <w:lang w:val="es-CO"/>
        </w:rPr>
        <w:t xml:space="preserve">y de liquidación bilateral, si el contrato previó liquidación; si no la previó, decir: "El contrato, de ejecución instantánea, no previó liquidación"</w:t>
      </w:r>
      <w:r>
        <w:rPr>
          <w:rFonts w:ascii="Times New Roman" w:eastAsia="Arial" w:hAnsi="Times New Roman" w:cs="Times New Roman"/>
          <w:sz w:val="24"/>
          <w:szCs w:val="24"/>
          <w:lang w:val="es-CO"/>
        </w:rPr>
        <w:t xml:space="preserve">, con fecha de suscripción actual, que se anexa: certifica los hechos anteriores con remisión a esos documentos, identifica el bien (placa, VIN, motor y kilometraje), su ubicación en servicio en el municipio de San Cayetano, declara cumplido el objeto el 30 de enero de 2026 y deja constancia de que no quedan saldos ni obligaciones pendientes </w:t>
      </w:r>
      <w:r>
        <w:rPr>
          <w:rFonts w:ascii="Times New Roman" w:eastAsia="Arial" w:hAnsi="Times New Roman" w:cs="Times New Roman"/>
          <w:highlight w:val="yellow"/>
          <w:sz w:val="24"/>
          <w:szCs w:val="24"/>
          <w:lang w:val="es-CO"/>
        </w:rPr>
        <w:t xml:space="preserve">suscribirla con la fecha actual, nunca con fecha de enero de 2026</w:t>
      </w:r>
      <w:r>
        <w:rPr>
          <w:rFonts w:ascii="Times New Roman" w:eastAsia="Arial" w:hAnsi="Times New Roman" w:cs="Times New Roman"/>
          <w:sz w:val="24"/>
          <w:szCs w:val="24"/>
          <w:lang w:val="es-CO"/>
        </w:rPr>
        <w:t xml:space="preserve">. Como acción de mejora, la entidad adoptó desde enero de 2026 el formato PL-FO-13 para el recibo de bienes.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Año-modelo del vehículo. </w:t>
      </w:r>
      <w:r>
        <w:rPr>
          <w:rFonts w:ascii="Times New Roman" w:eastAsia="Arial" w:hAnsi="Times New Roman" w:cs="Times New Roman"/>
          <w:highlight w:val="yellow"/>
          <w:sz w:val="24"/>
          <w:szCs w:val="24"/>
          <w:lang w:val="es-CO"/>
        </w:rPr>
        <w:t xml:space="preserve">DECISIÓN DEL ABOGADO. Confirmar en la minuta, los estudios previos y la factura FEI2168 si dicen "modelo 2026". Si ninguno exige año-modelo ni vehículo sin matricular, reemplazar este literal por: "Ni los estudios previos ni el contrato exigieron un año-modelo determinado ni un vehículo sin matrícula previa; la especificación fue el cumplimiento de la Resolución 3100 de 2019 para ambulancia TAB, verificado el 16 de enero de 2026." Si el contrato o la factura dicen modelo 2026, se recomienda incluir el texto siguiente: la Contraloría ya tiene la factura (2026), la lista de chequeo y la licencia (2025), y la explicación del literal c) lo deja a la vista; callarlo se leería como evasiva y trasladaría el problema a la supervisora que certificó el cumplimiento.</w:t>
      </w:r>
      <w:r>
        <w:rPr>
          <w:rFonts w:ascii="Times New Roman" w:eastAsia="Arial" w:hAnsi="Times New Roman" w:cs="Times New Roman"/>
          <w:sz w:val="24"/>
          <w:szCs w:val="24"/>
          <w:lang w:val="es-CO"/>
        </w:rPr>
        <w:t xml:space="preserve"> El contrato y la factura FEI2168 describen el automotor como modelo 2026 </w:t>
      </w:r>
      <w:r>
        <w:rPr>
          <w:rFonts w:ascii="Times New Roman" w:eastAsia="Arial" w:hAnsi="Times New Roman" w:cs="Times New Roman"/>
          <w:highlight w:val="yellow"/>
          <w:sz w:val="24"/>
          <w:szCs w:val="24"/>
          <w:lang w:val="es-CO"/>
        </w:rPr>
        <w:t xml:space="preserve">confirmar en ambos</w:t>
      </w:r>
      <w:r>
        <w:rPr>
          <w:rFonts w:ascii="Times New Roman" w:eastAsia="Arial" w:hAnsi="Times New Roman" w:cs="Times New Roman"/>
          <w:sz w:val="24"/>
          <w:szCs w:val="24"/>
          <w:lang w:val="es-CO"/>
        </w:rPr>
        <w:t xml:space="preserve">, mientras la licencia de tránsito, el RUNT y la propia lista de chequeo del 16 de enero de 2026 lo registran como modelo 2025, con matrícula inicial del 9 de mayo de 2025. La entidad verificó que el vehículo entregado corresponde al chasis y al motor facturados (VIN LVAV2KAB2SU314330, motor R088768) y que cumple la totalidad de las especificaciones técnicas de la Resolución 3100 de 2019 según la lista de chequeo del 16 de enero de 2026 </w:t>
      </w:r>
      <w:r>
        <w:rPr>
          <w:rFonts w:ascii="Times New Roman" w:eastAsia="Arial" w:hAnsi="Times New Roman" w:cs="Times New Roman"/>
          <w:highlight w:val="yellow"/>
          <w:sz w:val="24"/>
          <w:szCs w:val="24"/>
          <w:lang w:val="es-CO"/>
        </w:rPr>
        <w:t xml:space="preserve">y que registra un kilometraje de ___</w:t>
      </w:r>
      <w:r>
        <w:rPr>
          <w:rFonts w:ascii="Times New Roman" w:eastAsia="Arial" w:hAnsi="Times New Roman" w:cs="Times New Roman"/>
          <w:sz w:val="24"/>
          <w:szCs w:val="24"/>
          <w:lang w:val="es-CO"/>
        </w:rPr>
        <w:t xml:space="preserve">. La entidad </w:t>
      </w:r>
      <w:r>
        <w:rPr>
          <w:rFonts w:ascii="Times New Roman" w:eastAsia="Arial" w:hAnsi="Times New Roman" w:cs="Times New Roman"/>
          <w:highlight w:val="yellow"/>
          <w:sz w:val="24"/>
          <w:szCs w:val="24"/>
          <w:lang w:val="es-CO"/>
        </w:rPr>
        <w:t xml:space="preserve">requirió el (fecha) / requerirá</w:t>
      </w:r>
      <w:r>
        <w:rPr>
          <w:rFonts w:ascii="Times New Roman" w:eastAsia="Arial" w:hAnsi="Times New Roman" w:cs="Times New Roman"/>
          <w:sz w:val="24"/>
          <w:szCs w:val="24"/>
          <w:lang w:val="es-CO"/>
        </w:rPr>
        <w:t xml:space="preserve"> a la contratista la ficha técnica del fabricante con el año-modelo y la nota de ajuste a la factura electrónica FEI2168, y </w:t>
      </w:r>
      <w:r>
        <w:rPr>
          <w:rFonts w:ascii="Times New Roman" w:eastAsia="Arial" w:hAnsi="Times New Roman" w:cs="Times New Roman"/>
          <w:highlight w:val="yellow"/>
          <w:sz w:val="24"/>
          <w:szCs w:val="24"/>
          <w:lang w:val="es-CO"/>
        </w:rPr>
        <w:t xml:space="preserve">obtuvo / obtendrá</w:t>
      </w:r>
      <w:r>
        <w:rPr>
          <w:rFonts w:ascii="Times New Roman" w:eastAsia="Arial" w:hAnsi="Times New Roman" w:cs="Times New Roman"/>
          <w:sz w:val="24"/>
          <w:szCs w:val="24"/>
          <w:lang w:val="es-CO"/>
        </w:rPr>
        <w:t xml:space="preserve"> la comparación del precio de mercado de una ambulancia TAB equivalente, modelos 2025 y 2026, a diciembre de 2025, para establecer si existe diferencia de valor y, de haberla, exigir su reconocimiento a la contratista; el resultado se remitirá al equipo auditor. </w:t>
      </w:r>
      <w:r>
        <w:rPr>
          <w:rFonts w:ascii="Times New Roman" w:eastAsia="Arial" w:hAnsi="Times New Roman" w:cs="Times New Roman"/>
          <w:highlight w:val="yellow"/>
          <w:sz w:val="24"/>
          <w:szCs w:val="24"/>
          <w:lang w:val="es-CO"/>
        </w:rPr>
        <w:t xml:space="preserve">Si la Resolución 1947 de 2025 exigía vehículo nuevo o condicionó los recursos, revisarlo antes de radicar: existe riesgo de reintegro que debe manejarse con el Ministerio.</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del capítulo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Requerimiento de la E.S.E. a la contratista del 2 de octubre de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Respuesta de Import Medical Supplies S.A.S. del 6 de octubre de 2026, con el contrato de compraventa del vehículo y la consulta del RUNT, en los términos recibidos </w:t>
      </w:r>
      <w:r>
        <w:rPr>
          <w:rFonts w:ascii="Times New Roman" w:eastAsia="Arial" w:hAnsi="Times New Roman" w:cs="Times New Roman"/>
          <w:highlight w:val="yellow"/>
          <w:sz w:val="24"/>
          <w:szCs w:val="24"/>
          <w:lang w:val="es-CO"/>
        </w:rPr>
        <w:t xml:space="preserve">con la aclaración de fecha que se exija hoy</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Consulta del RUNT de la placa NSX651 generada por la E.S.E. 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datos del vehículo, limitaciones y SOAT </w:t>
      </w:r>
      <w:r>
        <w:rPr>
          <w:rFonts w:ascii="Times New Roman" w:eastAsia="Arial" w:hAnsi="Times New Roman" w:cs="Times New Roman"/>
          <w:highlight w:val="yellow"/>
          <w:sz w:val="24"/>
          <w:szCs w:val="24"/>
          <w:lang w:val="es-CO"/>
        </w:rPr>
        <w:t xml:space="preserve">por generar hoy en www.runt.gov.co</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Licencia de tránsito N° 10037693011 del 30 de enero de 2026, a nombre de la E.S.E. (se anexa de nuevo para facilidad de consulta).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Formato de recibido PL-FO-13 del 22 de enero de 2026, en su estado original, y certificación de la supervisora del contrato del </w:t>
      </w:r>
      <w:r>
        <w:rPr>
          <w:rFonts w:ascii="Times New Roman" w:eastAsia="Arial" w:hAnsi="Times New Roman" w:cs="Times New Roman"/>
          <w:highlight w:val="yellow"/>
          <w:sz w:val="24"/>
          <w:szCs w:val="24"/>
          <w:lang w:val="es-CO"/>
        </w:rPr>
        <w:t xml:space="preserve">fecha de 2026</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por expedir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Acta de recibo a satisfacción </w:t>
      </w:r>
      <w:r>
        <w:rPr>
          <w:rFonts w:ascii="Times New Roman" w:eastAsia="Arial" w:hAnsi="Times New Roman" w:cs="Times New Roman"/>
          <w:highlight w:val="yellow"/>
          <w:sz w:val="24"/>
          <w:szCs w:val="24"/>
          <w:lang w:val="es-CO"/>
        </w:rPr>
        <w:t xml:space="preserve">y de liquidación bilateral</w:t>
      </w:r>
      <w:r>
        <w:rPr>
          <w:rFonts w:ascii="Times New Roman" w:eastAsia="Arial" w:hAnsi="Times New Roman" w:cs="Times New Roman"/>
          <w:sz w:val="24"/>
          <w:szCs w:val="24"/>
          <w:lang w:val="es-CO"/>
        </w:rPr>
        <w:t xml:space="preserve"> del Contrato N° 1056 de 2025 del </w:t>
      </w:r>
      <w:r>
        <w:rPr>
          <w:rFonts w:ascii="Times New Roman" w:eastAsia="Arial" w:hAnsi="Times New Roman" w:cs="Times New Roman"/>
          <w:highlight w:val="yellow"/>
          <w:sz w:val="24"/>
          <w:szCs w:val="24"/>
          <w:lang w:val="es-CO"/>
        </w:rPr>
        <w:t xml:space="preserve">fecha de octubre de 2026</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por suscribir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Apartes del contrato </w:t>
      </w:r>
      <w:r>
        <w:rPr>
          <w:rFonts w:ascii="Times New Roman" w:eastAsia="Arial" w:hAnsi="Times New Roman" w:cs="Times New Roman"/>
          <w:highlight w:val="yellow"/>
          <w:sz w:val="24"/>
          <w:szCs w:val="24"/>
          <w:lang w:val="es-CO"/>
        </w:rPr>
        <w:t xml:space="preserve">y de los estudios previos</w:t>
      </w:r>
      <w:r>
        <w:rPr>
          <w:rFonts w:ascii="Times New Roman" w:eastAsia="Arial" w:hAnsi="Times New Roman" w:cs="Times New Roman"/>
          <w:sz w:val="24"/>
          <w:szCs w:val="24"/>
          <w:lang w:val="es-CO"/>
        </w:rPr>
        <w:t xml:space="preserve"> donde consta la causal de contratación directa.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highlight w:val="yellow"/>
          <w:sz w:val="24"/>
          <w:szCs w:val="24"/>
          <w:lang w:val="es-CO"/>
        </w:rPr>
        <w:t xml:space="preserve">Solo si no se enviaron el 1 de octubre: lista de chequeo PL-FO-12 del 16 de enero de 2026; póliza N° 53-44-101042119; comprobantes de egreso CE-10213 y CE-10217; informes de actividades y de supervisión del periodo 17 al 31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highlight w:val="yellow"/>
          <w:sz w:val="24"/>
          <w:szCs w:val="24"/>
          <w:lang w:val="es-CO"/>
        </w:rPr>
        <w:t xml:space="preserve">Solo si se incluye el literal h): requerimiento a la contratista sobre la factura y el año-modelo, y comparación de precios de mercado.</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Síntesis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bien adquirido existe, está inscrito a nombre de la E.S.E. sin limitaciones, cumple las especificaciones técnicas verificadas en la lista de chequeo del 16 de enero de 2026 </w:t>
      </w:r>
      <w:r>
        <w:rPr>
          <w:rFonts w:ascii="Times New Roman" w:eastAsia="Arial" w:hAnsi="Times New Roman" w:cs="Times New Roman"/>
          <w:highlight w:val="yellow"/>
          <w:sz w:val="24"/>
          <w:szCs w:val="24"/>
          <w:lang w:val="es-CO"/>
        </w:rPr>
        <w:t xml:space="preserve">con la salvedad del literal e), si la supervisora no certifica la lámpara</w:t>
      </w:r>
      <w:r>
        <w:rPr>
          <w:rFonts w:ascii="Times New Roman" w:eastAsia="Arial" w:hAnsi="Times New Roman" w:cs="Times New Roman"/>
          <w:sz w:val="24"/>
          <w:szCs w:val="24"/>
          <w:lang w:val="es-CO"/>
        </w:rPr>
        <w:t xml:space="preserve">, se pagó por el valor contratado, fijado con </w:t>
      </w:r>
      <w:r>
        <w:rPr>
          <w:rFonts w:ascii="Times New Roman" w:eastAsia="Arial" w:hAnsi="Times New Roman" w:cs="Times New Roman"/>
          <w:highlight w:val="yellow"/>
          <w:sz w:val="24"/>
          <w:szCs w:val="24"/>
          <w:lang w:val="es-CO"/>
        </w:rPr>
        <w:t xml:space="preserve">el estudio de mercado</w:t>
      </w:r>
      <w:r>
        <w:rPr>
          <w:rFonts w:ascii="Times New Roman" w:eastAsia="Arial" w:hAnsi="Times New Roman" w:cs="Times New Roman"/>
          <w:sz w:val="24"/>
          <w:szCs w:val="24"/>
          <w:lang w:val="es-CO"/>
        </w:rPr>
        <w:t xml:space="preserve"> de los estudios previos, y se encuentra en servicio en el municipio de San Cayetano </w:t>
      </w:r>
      <w:r>
        <w:rPr>
          <w:rFonts w:ascii="Times New Roman" w:eastAsia="Arial" w:hAnsi="Times New Roman" w:cs="Times New Roman"/>
          <w:highlight w:val="yellow"/>
          <w:sz w:val="24"/>
          <w:szCs w:val="24"/>
          <w:lang w:val="es-CO"/>
        </w:rPr>
        <w:t xml:space="preserve">confirmar la habilitación de la ambulancia en el REPS antes de afirmarlo</w:t>
      </w:r>
      <w:r>
        <w:rPr>
          <w:rFonts w:ascii="Times New Roman" w:eastAsia="Arial" w:hAnsi="Times New Roman" w:cs="Times New Roman"/>
          <w:sz w:val="24"/>
          <w:szCs w:val="24"/>
          <w:lang w:val="es-CO"/>
        </w:rPr>
        <w:t xml:space="preserve">. No se configura, por tanto, daño patrimonial (Ley 610 de 2000, artículo 6, modificado por el artículo 126 del Decreto Ley 403 de 2020) ni concurren los elementos de la responsabilidad fiscal (artículo 5, modificado por el artículo 125 del mismo decreto). La ordenadora del gasto actuó con base en las certificaciones de la supervisora, del almacén y del área de presupuesto, y las observaciones recaen sobre aspectos formales del expediente que la propia entidad identificó y corrigió durante el proceso auditor y antes del informe preliminar, lo que solicita se valore como beneficio del control fiscal.</w:t>
      </w:r>
    </w:p>
    <w:p>
      <w:pPr>
        <w:keepNext/>
        <w:spacing w:before="24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IV. Consideración final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los tres contratos los bienes adquiridos existen, ingresaron al almacén, fueron recibidos y están al servicio de la red hospitalaria, y se pagó exactamente el valor pactado, con respaldo presupuestal y sin exceder las apropiaciones. Las observaciones recaen sobre aspectos formales de los documentos del expediente: errores de transcripción derivados del uso de plantillas, formatos sin fecha, inconsistencias del formato de rendición y la descripción del objeto. No concurren el daño patrimonial ni la conducta dolosa o gravemente culposa que exige la responsabilidad fiscal (Ley 610 de 2000, artículos 5 y 6, modificados por los artículos 125 y 126 del Decreto Ley 403 de 2020). La ordenadora del gasto actuó con base en las certificaciones de los supervisores, del almacén y del área de presupuesto, y la entidad identificó y corrigió por su propia iniciativa las imprecisiones advertidas, durante el proceso auditor y antes del informe preliminar, lo que solicita se valore como beneficio del control fiscal. Los asuntos que dependen de terceros, la corrección del formato de rendición y la definición de los descuentos departamentales, se adelantarán conforme a las indicaciones del equipo auditor y al concepto de la Secretaría de Hacienda departamental.</w:t>
      </w:r>
    </w:p>
    <w:p>
      <w:pPr>
        <w:keepNext/>
        <w:spacing w:before="24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V.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 entidad solicita respetuosamente tener por aclarada la Inconsistencia N° 8 y por atendidas las demás observaciones sobre los contratos 983, 1058 y 1056 de 2025 o, en su defecto, calificarlas como de carácter administrativo para su inclusión en el plan de mejoramiento. Reitera su disposición de aportar cualquier aclaración adicional y de atender las verificaciones que el equipo auditor estime pertinentes.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