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NOTA INTERNA – PENDIENTES ANTES DE RADICAR</w:t>
      </w:r>
    </w:p>
    <w:p>
      <w:pPr>
        <w:jc w:val="both"/>
      </w:pPr>
      <w:r>
        <w:t>Respuesta a la Contraloría General del Departamento Norte de Santander. Contratos 983, 1058 y 1056 de 2025. Fecha: 7 de octubre de 2026. Documento de trabajo; no se radica.</w:t>
      </w:r>
    </w:p>
    <w:p>
      <w:pPr>
        <w:spacing w:before="200"/>
      </w:pPr>
      <w:r>
        <w:rPr>
          <w:b/>
        </w:rPr>
        <w:t>1. Cómo radicar</w:t>
      </w:r>
    </w:p>
    <w:p>
      <w:pPr>
        <w:jc w:val="both"/>
      </w:pPr>
      <w:r>
        <w:t>Documento principal: oficio único de respuesta con un capítulo por contrato (I: 983, II: 1058, III: 1056), consideración final y solicitud comunes. Alternativa: los tres oficios separados con el mismo contenido. Las 72 horas hábiles pedidas el viernes 2 de octubre vencen el 6 o el 7 según el cómputo. Si el oficio completo con sus anexos firmados no se radica hoy por la Ventanilla Única, radicar hoy una comunicación de una página que informe la fecha cierta de entrega citando el radicado de la solicitud de plazo (Ley 42 de 1993, artículos 100 y 101). No radicar el oficio diciendo "se anexa" de documentos que no existen firmados; la comunicación de fecha cierta es preferible a promesas en futuro.</w:t>
      </w:r>
    </w:p>
    <w:p>
      <w:pPr>
        <w:jc w:val="both"/>
      </w:pPr>
      <w:r>
        <w:t>Los fragmentos resaltados en amarillo son marcadores internos: decisiones, verificaciones y textos alternativos. Deben resolverse y retirarse antes de radicar. Ninguno puede quedar en el texto. Buscar y eliminar además las expresiones "en su estado original", "incumplimiento", "bien distinto al contratado", "diferencia de valor", "sobrecosto", "usado", "anticipado" y "antes de la entrega".</w:t>
      </w:r>
    </w:p>
    <w:p>
      <w:pPr>
        <w:spacing w:before="200"/>
      </w:pPr>
      <w:r>
        <w:rPr>
          <w:b/>
        </w:rPr>
        <w:t>2. Líneas rojas (seguridad jurídica de la Gerente)</w:t>
      </w:r>
    </w:p>
    <w:p>
      <w:pPr>
        <w:pStyle w:val="ListBullet"/>
        <w:jc w:val="both"/>
      </w:pPr>
      <w:r>
        <w:t>Ningún documento se fecha en una fecha anterior a su elaboración ni se modifican metadatos. La constancia de traslado del informe de evaluación del 983 se firma hoy, con fecha de hoy, como certificación de hechos ocurridos el 2 y 3 de octubre de 2025.</w:t>
      </w:r>
    </w:p>
    <w:p>
      <w:pPr>
        <w:pStyle w:val="ListBullet"/>
        <w:jc w:val="both"/>
      </w:pPr>
      <w:r>
        <w:t>No se marcan casillas ni se añaden firmas a documentos ya suscritos (PL-FO-12, PL-FO-13 del 22 de enero de 2026, FCAF-55, informes GJ-FO-01 y GJ-FO-02, acta de aprobación de pólizas, comunicación del 5 de octubre de 2026, contrato Colón–Import Medical). Lo que falte se certifica hoy en documento aparte con fecha actual.</w:t>
      </w:r>
    </w:p>
    <w:p>
      <w:pPr>
        <w:pStyle w:val="ListBullet"/>
        <w:jc w:val="both"/>
      </w:pPr>
      <w:r>
        <w:t>No se afirma nada que el expediente no soporte: habilitación de la ambulancia en el REPS, idoneidad de la lámpara sin inspección física, quién pagó el SOAT de 2026, numeración de las causales del Manual, kilometraje, existencia de actas de recibo.</w:t>
      </w:r>
    </w:p>
    <w:p>
      <w:pPr>
        <w:pStyle w:val="ListBullet"/>
        <w:jc w:val="both"/>
      </w:pPr>
      <w:r>
        <w:t>No se omite ningún documento expresamente requerido. Si no existe, el oficio lo dice y explica con qué otro documento se acredita el hecho.</w:t>
      </w:r>
    </w:p>
    <w:p>
      <w:pPr>
        <w:pStyle w:val="ListBullet"/>
        <w:jc w:val="both"/>
      </w:pPr>
      <w:r>
        <w:t>Toda reclamación a un contratista se hace por oficio de Gerencia con constancia de recibo y fecha anterior a la del oficio a la Contraloría, para poder citarla.</w:t>
      </w:r>
    </w:p>
    <w:p>
      <w:pPr>
        <w:spacing w:before="200"/>
      </w:pPr>
      <w:r>
        <w:rPr>
          <w:b/>
        </w:rPr>
        <w:t>3. Contrato 983 – por obtener o corregir hoy</w:t>
      </w:r>
    </w:p>
    <w:p>
      <w:pPr>
        <w:pStyle w:val="ListBullet"/>
        <w:jc w:val="both"/>
      </w:pPr>
      <w:r>
        <w:t>Firmar hoy la certificación de hechos de los días 2 y 3 de octubre de 2025 (proponente y Líder de Contratación); anexar, si existe, el correo del 2 de octubre de 2025 con el que se remitió el informe de evaluación.</w:t>
      </w:r>
    </w:p>
    <w:p>
      <w:pPr>
        <w:pStyle w:val="ListBullet"/>
        <w:jc w:val="both"/>
      </w:pPr>
      <w:r>
        <w:t>No anexar la "Respuesta técnica, jurídica y subsanación definitiva" mientras cite el artículo 34 del Manual, el artículo 24 de la Ley 80 de 1993, la pluralidad de oferentes y la firma del contrato el 9 de octubre. El oficio es la respuesta.</w:t>
      </w:r>
    </w:p>
    <w:p>
      <w:pPr>
        <w:pStyle w:val="ListBullet"/>
        <w:jc w:val="both"/>
      </w:pPr>
      <w:r>
        <w:t>Reexpedir con fecha de hoy la solicitud del 2 de octubre y la constancia del 5 de octubre de 2026: dicen "señor Chinquinquira" y "Contrato de Prestación de Servicios".</w:t>
      </w:r>
    </w:p>
    <w:p>
      <w:pPr>
        <w:pStyle w:val="ListBullet"/>
        <w:jc w:val="both"/>
      </w:pPr>
      <w:r>
        <w:t>Confirmar número del RP (el formato de supervisión corregido dice "RP 1329", igual al CDP), número y fecha del comprobante de egreso, y que el acta de recibo final del 31 de octubre de 2025 existe, está firmada y es anterior al egreso.</w:t>
      </w:r>
    </w:p>
    <w:p>
      <w:pPr>
        <w:pStyle w:val="ListBullet"/>
        <w:jc w:val="both"/>
      </w:pPr>
      <w:r>
        <w:t>Conseguir: estudio previo, invitación N° 017, propuesta, acta de cierre, informe de evaluación, CDP 1329 y RP, designación de la supervisora, factura FE-2920, comprobante FCAF-53, relación de equipos con seriales y sede. Si falta alguno, ajustar el literal para no afirmar que se anexa.</w:t>
      </w:r>
    </w:p>
    <w:p>
      <w:pPr>
        <w:pStyle w:val="ListBullet"/>
        <w:jc w:val="both"/>
      </w:pPr>
      <w:r>
        <w:t>Estampillas: radicar hoy una sola consulta a la Secretaría de Hacienda departamental para los contratos 983 y 1058 (que internamente cubra también el 1056, donde sí se descontaron estampilla y tasa) y citar su radicado en 983 k) y 1058 e). No pagar ni reintegrar nada antes del concepto.</w:t>
      </w:r>
    </w:p>
    <w:p>
      <w:pPr>
        <w:spacing w:before="200"/>
      </w:pPr>
      <w:r>
        <w:rPr>
          <w:b/>
        </w:rPr>
        <w:t>4. Contrato 1058 – por obtener o corregir hoy</w:t>
      </w:r>
    </w:p>
    <w:p>
      <w:pPr>
        <w:pStyle w:val="ListBullet"/>
        <w:jc w:val="both"/>
      </w:pPr>
      <w:r>
        <w:t>Corregir el acta aclaratoria al contrato: cláusula segunda (niega la entrega de insumos farmacéuticos que el acta de recibo final sí relaciona) y cláusula tercera (régimen de derecho privado, no Ley 80). Fecharla y firmarla en 2026. Extender la aclaración al acta de recibo final.</w:t>
      </w:r>
    </w:p>
    <w:p>
      <w:pPr>
        <w:pStyle w:val="ListBullet"/>
        <w:jc w:val="both"/>
      </w:pPr>
      <w:r>
        <w:t>Depurar la comunicación sobre la Inconsistencia N° 8: retirar los residuos "[cite]" y corregir el numeral 4 de la certificación.</w:t>
      </w:r>
    </w:p>
    <w:p>
      <w:pPr>
        <w:pStyle w:val="ListBullet"/>
        <w:jc w:val="both"/>
      </w:pPr>
      <w:r>
        <w:t>Reexpedir la certificación financiera sin la expresión "variación en la afectación entre subrubros", certificando distribución y ejecución por rubro sin traslados.</w:t>
      </w:r>
    </w:p>
    <w:p>
      <w:pPr>
        <w:pStyle w:val="ListBullet"/>
        <w:jc w:val="both"/>
      </w:pPr>
      <w:r>
        <w:t>Obtener: póliza 4416662 y acta de aprobación (nunca se han enviado); quince facturas y quince comprobantes de ingreso, con nota de ajuste del FCF-1076 y explicación de la fecha del FCF-1070; certificación del revisor fiscal y planillas de noviembre y diciembre; certificado de asociación, certificado de existencia y RUT de COHOSAN.</w:t>
      </w:r>
    </w:p>
    <w:p>
      <w:pPr>
        <w:pStyle w:val="ListBullet"/>
        <w:jc w:val="both"/>
      </w:pPr>
      <w:r>
        <w:t>Transcribir en e) el supuesto exacto del numeral 4 del artículo 340 de la Ordenanza 018 de 2025 y verificar si los valores descontados ya se trasladaron al Departamento.</w:t>
      </w:r>
    </w:p>
    <w:p>
      <w:pPr>
        <w:spacing w:before="200"/>
      </w:pPr>
      <w:r>
        <w:rPr>
          <w:b/>
        </w:rPr>
        <w:t>5. Contrato 1056 – por obtener o corregir hoy</w:t>
      </w:r>
    </w:p>
    <w:p>
      <w:pPr>
        <w:pStyle w:val="ListBullet"/>
        <w:jc w:val="both"/>
      </w:pPr>
      <w:r>
        <w:t>Consulta del RUNT de la placa NSX651 generada desde la entidad, con fecha visible, y solicitud radicada del certificado de tradición ante la Secretaría de Tránsito y Movilidad de Cundinamarca, sede Cáqueza. Revisar el formulario de traspaso del 30 de enero de 2026 para identificar al tradente. La defensa de la propiedad es registral.</w:t>
      </w:r>
    </w:p>
    <w:p>
      <w:pPr>
        <w:pStyle w:val="ListBullet"/>
        <w:jc w:val="both"/>
      </w:pPr>
      <w:r>
        <w:t>Requerir hoy a la contratista, por oficio de Gerencia y correo con constancia, plazo un día hábil: aclaración escrita de la fecha del contrato de compraventa (29 de abril de 2025, con placa asignada el 9 de mayo de 2025), copia del formulario de traspaso o declaración de la vendedora, aclaración o nota de ajuste del dato de modelo de la factura FEI2168, ficha técnica del fabricante (línea, año-modelo, tracción) y acreditación del estado del vehículo a la entrega. Nunca aceptar un contrato con la fecha corregida en reemplazo del original.</w:t>
      </w:r>
    </w:p>
    <w:p>
      <w:pPr>
        <w:pStyle w:val="ListBullet"/>
        <w:jc w:val="both"/>
      </w:pPr>
      <w:r>
        <w:t>Confirmar en la minuta, los estudios previos y la factura FEI2168 si dicen "modelo 2026", "nuevo" o "sin matricular", y si exigen tracción 4x4 (confrontar con la ficha técnica de la línea BJ1037V3KAV-1A; si exige 4x4 y el vehículo es 4x2, tratarlo aparte con la Gerencia antes de radicar). Decide el literal h).</w:t>
      </w:r>
    </w:p>
    <w:p>
      <w:pPr>
        <w:pStyle w:val="ListBullet"/>
        <w:jc w:val="both"/>
      </w:pPr>
      <w:r>
        <w:t>Cotización escrita de un concesionario FOTON del precio a diciembre de 2025 de una ambulancia TAB equivalente, modelos 2025 y 2026, con carrozado y dotación. Decide la Variante A o B del literal h).</w:t>
      </w:r>
    </w:p>
    <w:p>
      <w:pPr>
        <w:pStyle w:val="ListBullet"/>
        <w:jc w:val="both"/>
      </w:pPr>
      <w:r>
        <w:t>Acta de verificación de cumplimiento y cierre, con fecha de hoy, firmada por la supervisora y el Líder de Almacén (la contratista solo si acepta la salvedad). Sin "a entera satisfacción", "paz y salvo", "sin reclamación alguna" ni "declara cumplido el objeto". Salvedad obligatoria si se incluye h): "Se deja constancia de que la factura FEI2168 describe el automotor como modelo 2026 y el registro automotor lo identifica como modelo 2025, con matrícula inicial del 9 de mayo de 2025. La presente acta certifica la entrega del vehículo y su dotación, su matrícula a favor de la E.S.E. dentro del plazo contractual y la verificación de las especificaciones técnicas de la Resolución 3100 de 2019; no implica aceptación de esa diferencia ni renuncia a los derechos de la E.S.E. frente a la contratista derivados del contrato y de la ley, requeridos mediante oficio del [fecha], ni a las garantías legales de saneamiento."</w:t>
      </w:r>
    </w:p>
    <w:p>
      <w:pPr>
        <w:pStyle w:val="ListBullet"/>
        <w:jc w:val="both"/>
      </w:pPr>
      <w:r>
        <w:t>Certificación de la supervisora sobre la lámpara, con fecha de hoy y solo tras inspección física en la IPS San Cayetano. Si es una lámpara de taller sin uso asistencial, Variante 2 y requerimiento de reposición a la contratista. Lote y vencimiento de las tres bolsas de lactato.</w:t>
      </w:r>
    </w:p>
    <w:p>
      <w:pPr>
        <w:pStyle w:val="ListBullet"/>
        <w:jc w:val="both"/>
      </w:pPr>
      <w:r>
        <w:t>Verificar quién tomó y pagó el SOAT 43089245 antes de afirmar el cumplimiento de la cláusula décima primera.</w:t>
      </w:r>
    </w:p>
    <w:p>
      <w:pPr>
        <w:pStyle w:val="ListBullet"/>
        <w:jc w:val="both"/>
      </w:pPr>
      <w:r>
        <w:t>Confirmar la cláusula sexta (soportes y oportunidad del pago único) y si la Resolución 1947 de 2025 fijó plazo de ejecución o exigió vehículo nuevo (riesgo de reintegro que se maneja con el Ministerio, no en el oficio); confirmar la habilitación en el REPS; CDP y RP; inventario exacto del enlace enviado el 1 de octubre de 2026.</w:t>
      </w:r>
    </w:p>
    <w:p>
      <w:pPr>
        <w:spacing w:before="200"/>
      </w:pPr>
      <w:r>
        <w:rPr>
          <w:b/>
        </w:rPr>
        <w:t>6. Riesgos que no van en el oficio pero la Gerencia debe conocer</w:t>
      </w:r>
    </w:p>
    <w:p>
      <w:pPr>
        <w:pStyle w:val="ListBullet"/>
        <w:jc w:val="both"/>
      </w:pPr>
      <w:r>
        <w:t>1056: los informes GJ-FO-01 y GJ-FO-02 del 17 al 31 de diciembre de 2025 hablan de "adquisición del chasis, planeación del carrozado y trámites pendientes de matrícula" de un vehículo que el RUNT registra como ambulancia matriculada desde mayo de 2025, y el pago total se autorizó el 26 de diciembre, antes de la entrega del 16 de enero de 2026. Exposición disciplinaria de supervisora, Líder de Almacén y ordenadora del gasto. Leer el texto real, conciliar con la supervisora, no corregir ni refechar, no parafrasear en el oficio; tener lista la explicación (cláusula sexta y plazo de ejecución de la Resolución 1947, si existe) solo para pregunta del auditor.</w:t>
      </w:r>
    </w:p>
    <w:p>
      <w:pPr>
        <w:pStyle w:val="ListBullet"/>
        <w:jc w:val="both"/>
      </w:pPr>
      <w:r>
        <w:t>1056: la póliza 53-44-101042119 asegura $114.312.540,40, el 40% del contrato (30% cumplimiento y 10% calidad), cuando la cláusula novena exige 30% y 30%; el amparo de cumplimiento venció el 27 de junio de 2026 y el de calidad en agosto. Por eso el oficio ya no cita porcentajes ni vigencia de la póliza y no anuncia reclamación a la aseguradora. Acción correctiva para el plan de mejoramiento: verificar amparos contra la minuta antes de aprobar.</w:t>
      </w:r>
    </w:p>
    <w:p>
      <w:pPr>
        <w:pStyle w:val="ListBullet"/>
        <w:jc w:val="both"/>
      </w:pPr>
      <w:r>
        <w:t>1056: el contrato Colón–Import Medical dice precio $260.000.000 de contado, superior a la base facturada a la E.S.E. ($240.152.396), y modelo 2025; el contratista afirma que la ambulancia "estaba en el mercado para vender". No se adopta esa narrativa ni se comenta el precio. Si Import Medical nunca fue propietaria inscrita, la venta de cosa ajena es válida (Código de Comercio, artículo 907) y la tradición la hizo la propietaria inscrita a instancia de la vendedora.</w:t>
      </w:r>
    </w:p>
    <w:p>
      <w:pPr>
        <w:pStyle w:val="ListBullet"/>
        <w:jc w:val="both"/>
      </w:pPr>
      <w:r>
        <w:t>1056: radicado 03392 del 24 de diciembre de 2025 anterior a la factura del 26: explicar con la fecha de validación DIAN de la factura electrónica, solo si lo preguntan.</w:t>
      </w:r>
    </w:p>
    <w:p>
      <w:pPr>
        <w:pStyle w:val="ListBullet"/>
        <w:jc w:val="both"/>
      </w:pPr>
      <w:r>
        <w:t>983: la vigencia de la póliza termina el 7 de mayo de 2026; si el plazo se cuenta desde el acta de inicio del 9 de octubre, falta un día para "plazo y seis meses más". El oficio dice que supera en más de seis meses el recibo final.</w:t>
      </w:r>
    </w:p>
    <w:p>
      <w:pPr>
        <w:pStyle w:val="ListBullet"/>
        <w:jc w:val="both"/>
      </w:pPr>
      <w:r>
        <w:t>983: el formato de supervisión corregido sigue diciendo "Sub Gerente Administrativo y Financiero", "contrato de prestación de servicios personales" y "sede Cúcuta". El oficio explica el error de cargo y de plantilla; no afirma que el formato quedó totalmente corregido.</w:t>
      </w:r>
    </w:p>
    <w:p>
      <w:pPr>
        <w:pStyle w:val="ListBullet"/>
        <w:jc w:val="both"/>
      </w:pPr>
      <w:r>
        <w:t>Los tres: la numeración de las causales del Manual (29.2.x en la Resolución 002 de 2023; 30.2.x en los contratos) y la vigencia de la Resolución 143 de 2025 deben unificarse en todos los documentos que se radiquen. El F12 del 1056: verificar cómo se rindió la casilla de ofertas; sostiene o desvirtúa la posición del 1058.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