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Gramalote, 7 de octubre de 2026</w:t>
      </w:r>
    </w:p>
    <w:p>
      <w:pPr>
        <w:spacing w:before="0" w:after="0" w:line="276" w:lineRule="auto"/>
        <w:jc w:val="both"/>
        <w:rPr>
          <w:rFonts w:ascii="Times New Roman" w:eastAsia="Arial" w:hAnsi="Times New Roman" w:cs="Times New Roman"/>
          <w:sz w:val="24"/>
          <w:szCs w:val="24"/>
          <w:lang w:val="es-CO"/>
        </w:rPr>
      </w:pPr>
    </w:p>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Señores</w:t>
      </w:r>
    </w:p>
    <w:p>
      <w:pPr>
        <w:spacing w:before="0" w:after="0" w:line="276" w:lineRule="auto"/>
        <w:jc w:val="left"/>
        <w:rPr>
          <w:rFonts w:ascii="Times New Roman" w:eastAsia="Arial" w:hAnsi="Times New Roman" w:cs="Times New Roman"/>
          <w:b/>
          <w:bCs/>
          <w:sz w:val="24"/>
          <w:szCs w:val="24"/>
          <w:lang w:val="es-CO"/>
        </w:rPr>
      </w:pPr>
      <w:r>
        <w:rPr>
          <w:rFonts w:ascii="Times New Roman" w:eastAsia="Arial" w:hAnsi="Times New Roman" w:cs="Times New Roman"/>
          <w:b/>
          <w:bCs/>
          <w:sz w:val="24"/>
          <w:szCs w:val="24"/>
          <w:lang w:val="es-CO"/>
        </w:rPr>
        <w:t xml:space="preserve">CONTRALORÍA GENERAL DEL DEPARTAMENTO NORTE DE SANTANDER</w:t>
      </w:r>
    </w:p>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Atención: doctora Gloria Esperanza Vera Castillo, Profesional Universitario, Auditora designada</w:t>
      </w:r>
    </w:p>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San José de Cúcuta</w:t>
      </w:r>
    </w:p>
    <w:p>
      <w:pPr>
        <w:spacing w:before="0" w:after="0" w:line="276" w:lineRule="auto"/>
        <w:jc w:val="both"/>
        <w:rPr>
          <w:rFonts w:ascii="Times New Roman" w:eastAsia="Arial" w:hAnsi="Times New Roman" w:cs="Times New Roman"/>
          <w:sz w:val="24"/>
          <w:szCs w:val="24"/>
          <w:lang w:val="es-CO"/>
        </w:rPr>
      </w:pPr>
    </w:p>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b/>
          <w:bCs/>
          <w:sz w:val="24"/>
          <w:szCs w:val="24"/>
          <w:lang w:val="es-CO"/>
        </w:rPr>
        <w:t xml:space="preserve">Asunto:</w:t>
      </w:r>
      <w:r>
        <w:rPr>
          <w:rFonts w:ascii="Times New Roman" w:eastAsia="Arial" w:hAnsi="Times New Roman" w:cs="Times New Roman"/>
          <w:sz w:val="24"/>
          <w:szCs w:val="24"/>
          <w:lang w:val="es-CO"/>
        </w:rPr>
        <w:t xml:space="preserve"> Respuesta al requerimiento de alcance del </w:t>
      </w:r>
      <w:r>
        <w:rPr>
          <w:rFonts w:ascii="Times New Roman" w:eastAsia="Arial" w:hAnsi="Times New Roman" w:cs="Times New Roman"/>
          <w:highlight w:val="yellow"/>
          <w:sz w:val="24"/>
          <w:szCs w:val="24"/>
          <w:lang w:val="es-CO"/>
        </w:rPr>
        <w:t xml:space="preserve">fecha</w:t>
      </w:r>
      <w:r>
        <w:rPr>
          <w:rFonts w:ascii="Times New Roman" w:eastAsia="Arial" w:hAnsi="Times New Roman" w:cs="Times New Roman"/>
          <w:sz w:val="24"/>
          <w:szCs w:val="24"/>
          <w:lang w:val="es-CO"/>
        </w:rPr>
        <w:t xml:space="preserve"> sobre el Contrato de Compraventa N° 1056 de 2025 (adquisición y dotación de una ambulancia básica) y remisión de soportes.</w:t>
      </w:r>
    </w:p>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b/>
          <w:bCs/>
          <w:sz w:val="24"/>
          <w:szCs w:val="24"/>
          <w:lang w:val="es-CO"/>
        </w:rPr>
        <w:t xml:space="preserve">Referencia:</w:t>
      </w:r>
      <w:r>
        <w:rPr>
          <w:rFonts w:ascii="Times New Roman" w:eastAsia="Arial" w:hAnsi="Times New Roman" w:cs="Times New Roman"/>
          <w:sz w:val="24"/>
          <w:szCs w:val="24"/>
          <w:lang w:val="es-CO"/>
        </w:rPr>
        <w:t xml:space="preserve"> Auditoría Financiera de Gestión y Resultados Abreviada, vigencia 2025. Radicado N° 20262010017741 del 18 de agosto de 2026.</w:t>
      </w:r>
    </w:p>
    <w:p>
      <w:pPr>
        <w:spacing w:before="0" w:after="0" w:line="276" w:lineRule="auto"/>
        <w:jc w:val="both"/>
        <w:rPr>
          <w:rFonts w:ascii="Times New Roman" w:eastAsia="Arial" w:hAnsi="Times New Roman" w:cs="Times New Roman"/>
          <w:sz w:val="24"/>
          <w:szCs w:val="24"/>
          <w:lang w:val="es-CO"/>
        </w:rPr>
      </w:pP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Cordial saludo.</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En atención al requerimiento de alcance radicado N° </w:t>
      </w:r>
      <w:r>
        <w:rPr>
          <w:rFonts w:ascii="Times New Roman" w:eastAsia="Arial" w:hAnsi="Times New Roman" w:cs="Times New Roman"/>
          <w:highlight w:val="yellow"/>
          <w:sz w:val="24"/>
          <w:szCs w:val="24"/>
          <w:lang w:val="es-CO"/>
        </w:rPr>
        <w:t xml:space="preserve">número</w:t>
      </w:r>
      <w:r>
        <w:rPr>
          <w:rFonts w:ascii="Times New Roman" w:eastAsia="Arial" w:hAnsi="Times New Roman" w:cs="Times New Roman"/>
          <w:sz w:val="24"/>
          <w:szCs w:val="24"/>
          <w:lang w:val="es-CO"/>
        </w:rPr>
        <w:t xml:space="preserve"> del </w:t>
      </w:r>
      <w:r>
        <w:rPr>
          <w:rFonts w:ascii="Times New Roman" w:eastAsia="Arial" w:hAnsi="Times New Roman" w:cs="Times New Roman"/>
          <w:highlight w:val="yellow"/>
          <w:sz w:val="24"/>
          <w:szCs w:val="24"/>
          <w:lang w:val="es-CO"/>
        </w:rPr>
        <w:t xml:space="preserve">fecha</w:t>
      </w:r>
      <w:r>
        <w:rPr>
          <w:rFonts w:ascii="Times New Roman" w:eastAsia="Arial" w:hAnsi="Times New Roman" w:cs="Times New Roman"/>
          <w:sz w:val="24"/>
          <w:szCs w:val="24"/>
          <w:lang w:val="es-CO"/>
        </w:rPr>
        <w:t xml:space="preserve"> sobre el Contrato N° 1056 de 2025, formulado dentro de la auditoría de la referencia, y conforme a la solicitud de plazo del 2 de octubre de 2026 </w:t>
      </w:r>
      <w:r>
        <w:rPr>
          <w:rFonts w:ascii="Times New Roman" w:eastAsia="Arial" w:hAnsi="Times New Roman" w:cs="Times New Roman"/>
          <w:highlight w:val="yellow"/>
          <w:sz w:val="24"/>
          <w:szCs w:val="24"/>
          <w:lang w:val="es-CO"/>
        </w:rPr>
        <w:t xml:space="preserve">radicado; si el alcance fijó término propio, citarlo</w:t>
      </w:r>
      <w:r>
        <w:rPr>
          <w:rFonts w:ascii="Times New Roman" w:eastAsia="Arial" w:hAnsi="Times New Roman" w:cs="Times New Roman"/>
          <w:sz w:val="24"/>
          <w:szCs w:val="24"/>
          <w:lang w:val="es-CO"/>
        </w:rPr>
        <w:t xml:space="preserve">, la E.S.E. Hospital Regional Centro responde cada punto en su orden y remite los soportes que lo acreditan. Los soportes remitidos el 1 de octubre de 2026 no se repiten, salvo la licencia de tránsito, que se anexa de nuevo para facilidad de consulta </w:t>
      </w:r>
      <w:r>
        <w:rPr>
          <w:rFonts w:ascii="Times New Roman" w:eastAsia="Arial" w:hAnsi="Times New Roman" w:cs="Times New Roman"/>
          <w:highlight w:val="yellow"/>
          <w:sz w:val="24"/>
          <w:szCs w:val="24"/>
          <w:lang w:val="es-CO"/>
        </w:rPr>
        <w:t xml:space="preserve">verificar el contenido exacto del enlace enviado ese día</w:t>
      </w:r>
      <w:r>
        <w:rPr>
          <w:rFonts w:ascii="Times New Roman" w:eastAsia="Arial" w:hAnsi="Times New Roman" w:cs="Times New Roman"/>
          <w:sz w:val="24"/>
          <w:szCs w:val="24"/>
          <w:lang w:val="es-CO"/>
        </w:rPr>
        <w:t xml:space="preserve">. La respuesta de la contratista del 6 de octubre de 2026 se anexa en los términos en que fue recibida; la posición de la entidad es la que se expone en este oficio. Las respuestas de los contratos 983 y 1058 de 2025 se radican por separado en esta misma fecha.</w:t>
      </w:r>
    </w:p>
    <w:p>
      <w:pPr>
        <w:keepNext/>
        <w:spacing w:before="12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1. Antecedentes</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El contrato se celebró el 16 de diciembre de 2025 con Import Medical Supplies S.A.S., NIT 900.848.658-0, por $285.781.351, para la adquisición y dotación de una ambulancia de transporte asistencial básico para el servicio de salud que la E.S.E. presta en el municipio de San Cayetano, con recursos de la Resolución 1947 de 2025 del Ministerio de Salud y Protección Social y recursos propios </w:t>
      </w:r>
      <w:r>
        <w:rPr>
          <w:rFonts w:ascii="Times New Roman" w:eastAsia="Arial" w:hAnsi="Times New Roman" w:cs="Times New Roman"/>
          <w:highlight w:val="yellow"/>
          <w:sz w:val="24"/>
          <w:szCs w:val="24"/>
          <w:lang w:val="es-CO"/>
        </w:rPr>
        <w:t xml:space="preserve">CDP y RP, números y fechas</w:t>
      </w:r>
      <w:r>
        <w:rPr>
          <w:rFonts w:ascii="Times New Roman" w:eastAsia="Arial" w:hAnsi="Times New Roman" w:cs="Times New Roman"/>
          <w:sz w:val="24"/>
          <w:szCs w:val="24"/>
          <w:lang w:val="es-CO"/>
        </w:rPr>
        <w:t xml:space="preserve">. El pago único pactado en la cláusula sexta se efectuó el 26 de diciembre de 2025 (comprobantes de egreso CE-10213 y CE-10217), con la factura FEI2168, que identifica el automotor por VIN y motor, el registro fotográfico y el informe de supervisión del periodo </w:t>
      </w:r>
      <w:r>
        <w:rPr>
          <w:rFonts w:ascii="Times New Roman" w:eastAsia="Arial" w:hAnsi="Times New Roman" w:cs="Times New Roman"/>
          <w:highlight w:val="yellow"/>
          <w:sz w:val="24"/>
          <w:szCs w:val="24"/>
          <w:lang w:val="es-CO"/>
        </w:rPr>
        <w:t xml:space="preserve">confirmar en la cláusula sexta los soportes pactados para el pago; si la Resolución 1947 de 2025 fija plazo de ejecución de los recursos, añadir: "dentro del plazo de ejecución fijado por el artículo __ de la Resolución 1947 de 2025"</w:t>
      </w:r>
      <w:r>
        <w:rPr>
          <w:rFonts w:ascii="Times New Roman" w:eastAsia="Arial" w:hAnsi="Times New Roman" w:cs="Times New Roman"/>
          <w:sz w:val="24"/>
          <w:szCs w:val="24"/>
          <w:lang w:val="es-CO"/>
        </w:rPr>
        <w:t xml:space="preserve">. La entrega del vehículo con su dotación se verificó el 16 de enero de 2026, los elementos pendientes se recibieron el 22 y la matrícula a nombre de la entidad se inscribió el 30 de enero de 2026, dentro del plazo contractual que vencía el 31 de enero de 2026. La E.S.E. contrata bajo el derecho privado y su Manual de Contratación (Resolución 002 de 2023 y sus modificaciones), con sujeción a los principios de la función administrativa y de la gestión fiscal.</w:t>
      </w:r>
    </w:p>
    <w:p>
      <w:pPr>
        <w:keepNext/>
        <w:spacing w:before="12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2. Respuesta a los puntos del requerimiento</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a)</w:t>
        <w:tab/>
      </w:r>
      <w:r>
        <w:rPr>
          <w:rFonts w:ascii="Times New Roman" w:eastAsia="Arial" w:hAnsi="Times New Roman" w:cs="Times New Roman"/>
          <w:sz w:val="24"/>
          <w:szCs w:val="24"/>
          <w:lang w:val="es-CO"/>
        </w:rPr>
        <w:t xml:space="preserve">Modalidad de contratación. El contrato se celebró por contratación directa con fundamento en el numeral </w:t>
      </w:r>
      <w:r>
        <w:rPr>
          <w:rFonts w:ascii="Times New Roman" w:eastAsia="Arial" w:hAnsi="Times New Roman" w:cs="Times New Roman"/>
          <w:highlight w:val="yellow"/>
          <w:sz w:val="24"/>
          <w:szCs w:val="24"/>
          <w:lang w:val="es-CO"/>
        </w:rPr>
        <w:t xml:space="preserve">30.2.10 o 29.2.10, según la versión del Manual vigente el 16 de diciembre de 2025: Resolución 002 de 2023, modificada por la Resolución 143 de 2025</w:t>
      </w:r>
      <w:r>
        <w:rPr>
          <w:rFonts w:ascii="Times New Roman" w:eastAsia="Arial" w:hAnsi="Times New Roman" w:cs="Times New Roman"/>
          <w:sz w:val="24"/>
          <w:szCs w:val="24"/>
          <w:lang w:val="es-CO"/>
        </w:rPr>
        <w:t xml:space="preserve"> del Manual de Contratación, que autoriza esa modalidad para </w:t>
      </w:r>
      <w:r>
        <w:rPr>
          <w:rFonts w:ascii="Times New Roman" w:eastAsia="Arial" w:hAnsi="Times New Roman" w:cs="Times New Roman"/>
          <w:highlight w:val="yellow"/>
          <w:sz w:val="24"/>
          <w:szCs w:val="24"/>
          <w:lang w:val="es-CO"/>
        </w:rPr>
        <w:t xml:space="preserve">transcribir literalmente la causal</w:t>
      </w:r>
      <w:r>
        <w:rPr>
          <w:rFonts w:ascii="Times New Roman" w:eastAsia="Arial" w:hAnsi="Times New Roman" w:cs="Times New Roman"/>
          <w:sz w:val="24"/>
          <w:szCs w:val="24"/>
          <w:lang w:val="es-CO"/>
        </w:rPr>
        <w:t xml:space="preserve">, supuesto que cumple la Resolución 1947 de 2025, que asignó los recursos con destinación específica </w:t>
      </w:r>
      <w:r>
        <w:rPr>
          <w:rFonts w:ascii="Times New Roman" w:eastAsia="Arial" w:hAnsi="Times New Roman" w:cs="Times New Roman"/>
          <w:highlight w:val="yellow"/>
          <w:sz w:val="24"/>
          <w:szCs w:val="24"/>
          <w:lang w:val="es-CO"/>
        </w:rPr>
        <w:t xml:space="preserve">y plazo de ejecución, citar</w:t>
      </w:r>
      <w:r>
        <w:rPr>
          <w:rFonts w:ascii="Times New Roman" w:eastAsia="Arial" w:hAnsi="Times New Roman" w:cs="Times New Roman"/>
          <w:sz w:val="24"/>
          <w:szCs w:val="24"/>
          <w:lang w:val="es-CO"/>
        </w:rPr>
        <w:t xml:space="preserve">. El Manual, expedido conforme a la Resolución 5185 de 2013 del Ministerio de Salud y Protección Social </w:t>
      </w:r>
      <w:r>
        <w:rPr>
          <w:rFonts w:ascii="Times New Roman" w:eastAsia="Arial" w:hAnsi="Times New Roman" w:cs="Times New Roman"/>
          <w:highlight w:val="yellow"/>
          <w:sz w:val="24"/>
          <w:szCs w:val="24"/>
          <w:lang w:val="es-CO"/>
        </w:rPr>
        <w:t xml:space="preserve">confirmar que el Manual la cita</w:t>
      </w:r>
      <w:r>
        <w:rPr>
          <w:rFonts w:ascii="Times New Roman" w:eastAsia="Arial" w:hAnsi="Times New Roman" w:cs="Times New Roman"/>
          <w:sz w:val="24"/>
          <w:szCs w:val="24"/>
          <w:lang w:val="es-CO"/>
        </w:rPr>
        <w:t xml:space="preserve">, permite la contratación directa cuando se configura una de sus causales, cualquiera sea la cuantía. La causal consta en la parte considerativa del contrato </w:t>
      </w:r>
      <w:r>
        <w:rPr>
          <w:rFonts w:ascii="Times New Roman" w:eastAsia="Arial" w:hAnsi="Times New Roman" w:cs="Times New Roman"/>
          <w:highlight w:val="yellow"/>
          <w:sz w:val="24"/>
          <w:szCs w:val="24"/>
          <w:lang w:val="es-CO"/>
        </w:rPr>
        <w:t xml:space="preserve">y en los estudios previos, si se confirma</w:t>
      </w:r>
      <w:r>
        <w:rPr>
          <w:rFonts w:ascii="Times New Roman" w:eastAsia="Arial" w:hAnsi="Times New Roman" w:cs="Times New Roman"/>
          <w:sz w:val="24"/>
          <w:szCs w:val="24"/>
          <w:lang w:val="es-CO"/>
        </w:rPr>
        <w:t xml:space="preserve">, y el valor se fijó con </w:t>
      </w:r>
      <w:r>
        <w:rPr>
          <w:rFonts w:ascii="Times New Roman" w:eastAsia="Arial" w:hAnsi="Times New Roman" w:cs="Times New Roman"/>
          <w:highlight w:val="yellow"/>
          <w:sz w:val="24"/>
          <w:szCs w:val="24"/>
          <w:lang w:val="es-CO"/>
        </w:rPr>
        <w:t xml:space="preserve">las cotizaciones / el estudio de mercado</w:t>
      </w:r>
      <w:r>
        <w:rPr>
          <w:rFonts w:ascii="Times New Roman" w:eastAsia="Arial" w:hAnsi="Times New Roman" w:cs="Times New Roman"/>
          <w:sz w:val="24"/>
          <w:szCs w:val="24"/>
          <w:lang w:val="es-CO"/>
        </w:rPr>
        <w:t xml:space="preserve"> de los estudios previos. Como acción de mejora, la entidad dejará en cada expediente un acto de justificación expreso de la modalidad.</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b)</w:t>
        <w:tab/>
      </w:r>
      <w:r>
        <w:rPr>
          <w:rFonts w:ascii="Times New Roman" w:eastAsia="Arial" w:hAnsi="Times New Roman" w:cs="Times New Roman"/>
          <w:sz w:val="24"/>
          <w:szCs w:val="24"/>
          <w:lang w:val="es-CO"/>
        </w:rPr>
        <w:t xml:space="preserve">Tradición del vehículo. La E.S.E. es propietaria inscrita de la ambulancia de placa NSX651, según la licencia de tránsito N° 10037693011, expedida el 30 de enero de 2026 a nombre de la E.S.E. Hospital Regional Centro, NIT 807.008.824, y la consulta del RUNT generada por la entidad el </w:t>
      </w:r>
      <w:r>
        <w:rPr>
          <w:rFonts w:ascii="Times New Roman" w:eastAsia="Arial" w:hAnsi="Times New Roman" w:cs="Times New Roman"/>
          <w:highlight w:val="yellow"/>
          <w:sz w:val="24"/>
          <w:szCs w:val="24"/>
          <w:lang w:val="es-CO"/>
        </w:rPr>
        <w:t xml:space="preserve">fecha</w:t>
      </w:r>
      <w:r>
        <w:rPr>
          <w:rFonts w:ascii="Times New Roman" w:eastAsia="Arial" w:hAnsi="Times New Roman" w:cs="Times New Roman"/>
          <w:sz w:val="24"/>
          <w:szCs w:val="24"/>
          <w:lang w:val="es-CO"/>
        </w:rPr>
        <w:t xml:space="preserve">, que registra el vehículo activo, en servicio oficial, sin limitaciones a la propiedad, prenda ni embargo, con matrícula inicial del 9 de mayo de 2025 y los dos SOAT. La tradición del dominio de los automotores requiere la entrega material y la inscripción del título en el organismo de tránsito (Código de Comercio, artículo 922; Ley 769 de 2002, artículo 47); ambas se cumplieron a favor de la entidad el 16 y el 30 de enero de 2026, dentro del término legal. La inscripción del traspaso a favor de la E.S.E. constituye su título de propiedad, oponible a terceros, y agota la obligación de transferir el dominio a cargo de la contratista. </w:t>
      </w:r>
      <w:r>
        <w:rPr>
          <w:rFonts w:ascii="Times New Roman" w:eastAsia="Arial" w:hAnsi="Times New Roman" w:cs="Times New Roman"/>
          <w:highlight w:val="yellow"/>
          <w:sz w:val="24"/>
          <w:szCs w:val="24"/>
          <w:lang w:val="es-CO"/>
        </w:rPr>
        <w:t xml:space="preserve">Cadena de propietarios: redactar según el certificado de tradición solicitado al organismo de tránsito de Cáqueza el (fecha, radicado). Si la tradente fue la señora Colón: "Según el certificado de tradición del (fecha), el automotor fue matriculado el 9 de mayo de 2025 a nombre de la señora Virginia del Carmen Colón y traspasado a la E.S.E. el 30 de enero de 2026 mediante formulario suscrito por la propietaria inscrita, a instancia de la contratista vendedora; la tradición hecha por quien tenía el dominio inscrito es válida y eficaz a favor de la entidad (Código de Comercio, artículos 907 y 922)". Si Import Medical figura como propietaria intermedia, describir las tres inscripciones con fechas. Mientras no llegue el certificado: "La entidad solicitó el (fecha) al organismo de tránsito el certificado de tradición del vehículo, que remitirá al recibirlo".</w:t>
      </w:r>
      <w:r>
        <w:rPr>
          <w:rFonts w:ascii="Times New Roman" w:eastAsia="Arial" w:hAnsi="Times New Roman" w:cs="Times New Roman"/>
          <w:sz w:val="24"/>
          <w:szCs w:val="24"/>
          <w:lang w:val="es-CO"/>
        </w:rPr>
        <w:t xml:space="preserve"> A requerimiento de la entidad del 2 de octubre de 2026, la contratista aportó el 6 de octubre de 2026 su respuesta, con un contrato privado de compraventa celebrado con la primera propietaria y una consulta del RUNT, que se remiten en los términos recibidos. La entidad advierte que ese contrato privado aparece fechado el 29 de abril de 2025, fecha anterior a la matrícula inicial del 9 de mayo de 2025, pese a identificar el vehículo por la placa NSX651 asignada en esa matrícula, y que la respuesta de la contratista sitúa la venta con posterioridad a la matrícula; por ello requirió a la contratista el </w:t>
      </w:r>
      <w:r>
        <w:rPr>
          <w:rFonts w:ascii="Times New Roman" w:eastAsia="Arial" w:hAnsi="Times New Roman" w:cs="Times New Roman"/>
          <w:highlight w:val="yellow"/>
          <w:sz w:val="24"/>
          <w:szCs w:val="24"/>
          <w:lang w:val="es-CO"/>
        </w:rPr>
        <w:t xml:space="preserve">fecha, anterior a la de este oficio</w:t>
      </w:r>
      <w:r>
        <w:rPr>
          <w:rFonts w:ascii="Times New Roman" w:eastAsia="Arial" w:hAnsi="Times New Roman" w:cs="Times New Roman"/>
          <w:sz w:val="24"/>
          <w:szCs w:val="24"/>
          <w:lang w:val="es-CO"/>
        </w:rPr>
        <w:t xml:space="preserve"> la aclaración escrita de la fecha de ese documento </w:t>
      </w:r>
      <w:r>
        <w:rPr>
          <w:rFonts w:ascii="Times New Roman" w:eastAsia="Arial" w:hAnsi="Times New Roman" w:cs="Times New Roman"/>
          <w:highlight w:val="yellow"/>
          <w:sz w:val="24"/>
          <w:szCs w:val="24"/>
          <w:lang w:val="es-CO"/>
        </w:rPr>
        <w:t xml:space="preserve">y se anexa la aclaración recibida / y remitirá la respuesta al equipo auditor en cuanto la reciba</w:t>
      </w:r>
      <w:r>
        <w:rPr>
          <w:rFonts w:ascii="Times New Roman" w:eastAsia="Arial" w:hAnsi="Times New Roman" w:cs="Times New Roman"/>
          <w:sz w:val="24"/>
          <w:szCs w:val="24"/>
          <w:lang w:val="es-CO"/>
        </w:rPr>
        <w:t xml:space="preserve">. Esa inconsistencia, atribuible a la contratista, no afecta la titularidad de la E.S.E., que consta en el registro automotor.</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c)</w:t>
        <w:tab/>
      </w:r>
      <w:r>
        <w:rPr>
          <w:rFonts w:ascii="Times New Roman" w:eastAsia="Arial" w:hAnsi="Times New Roman" w:cs="Times New Roman"/>
          <w:sz w:val="24"/>
          <w:szCs w:val="24"/>
          <w:lang w:val="es-CO"/>
        </w:rPr>
        <w:t xml:space="preserve">Fecha de matrícula anterior al contrato. En su requerimiento del 2 de octubre de 2026 la entidad planteó a la contratista la hipótesis de un error de digitación en la licencia. Verificado el RUNT, la fecha "09/05/2025" no es un error: es la de la matrícula inicial del automotor, realizada por su primera propietaria, que se conserva en los traspasos; lo que cambia es el propietario y la fecha de expedición de la licencia, 30 de enero de 2026. La mención de aquel requerimiento a la "existencia del chasis" es inexacta: el chasis se facturó el 23 de enero de 2025, antes de la matrícula. Queda así descartada la hipótesis de error registral.</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d)</w:t>
        <w:tab/>
      </w:r>
      <w:r>
        <w:rPr>
          <w:rFonts w:ascii="Times New Roman" w:eastAsia="Arial" w:hAnsi="Times New Roman" w:cs="Times New Roman"/>
          <w:sz w:val="24"/>
          <w:szCs w:val="24"/>
          <w:lang w:val="es-CO"/>
        </w:rPr>
        <w:t xml:space="preserve">SOAT. El vehículo contó con seguro obligatorio sin solución de continuidad (Ley 769 de 2002, artículo 42): el SOAT N° 41686458 de Seguros Generales Suramericana S.A., expedido el 25 de abril de 2025 y vigente del 27 de abril de 2025 al 26 de abril de 2026, lo amparaba en la entrega (16 de enero de 2026) y en el traspaso (30 de enero de 2026), y el SOAT N° 43089245, expedido el 15 de abril de 2026, rige del 27 de abril de 2026 al 26 de abril de 2027. Así lo acredita la consulta del RUNT generada por la entidad, que se anexa </w:t>
      </w:r>
      <w:r>
        <w:rPr>
          <w:rFonts w:ascii="Times New Roman" w:eastAsia="Arial" w:hAnsi="Times New Roman" w:cs="Times New Roman"/>
          <w:highlight w:val="yellow"/>
          <w:sz w:val="24"/>
          <w:szCs w:val="24"/>
          <w:lang w:val="es-CO"/>
        </w:rPr>
        <w:t xml:space="preserve">si el alcance observa literalmente la ausencia del primer SOAT en el expediente, añadir: "la copia del SOAT N° 41686458 no reposaba en el expediente"</w:t>
      </w:r>
      <w:r>
        <w:rPr>
          <w:rFonts w:ascii="Times New Roman" w:eastAsia="Arial" w:hAnsi="Times New Roman" w:cs="Times New Roman"/>
          <w:sz w:val="24"/>
          <w:szCs w:val="24"/>
          <w:lang w:val="es-CO"/>
        </w:rPr>
        <w:t xml:space="preserve">. </w:t>
      </w:r>
      <w:r>
        <w:rPr>
          <w:rFonts w:ascii="Times New Roman" w:eastAsia="Arial" w:hAnsi="Times New Roman" w:cs="Times New Roman"/>
          <w:highlight w:val="yellow"/>
          <w:sz w:val="24"/>
          <w:szCs w:val="24"/>
          <w:lang w:val="es-CO"/>
        </w:rPr>
        <w:t xml:space="preserve">Verificar quién tomó y pagó el SOAT 43089245. Si lo pagó la contratista: "El SOAT N° 43089245 fue adquirido por la contratista en cumplimiento de la cláusula décima primera, según el soporte que se anexa". Si lo pagó la E.S.E.: no afirmar cumplimiento de la cláusula; decir que la obligación de entregar el vehículo asegurado se cumplió con el SOAT vigente a la entrega y que la renovación anual corresponde al propietario, y evaluar si se exige el valor a la contratista.</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e)</w:t>
        <w:tab/>
      </w:r>
      <w:r>
        <w:rPr>
          <w:rFonts w:ascii="Times New Roman" w:eastAsia="Arial" w:hAnsi="Times New Roman" w:cs="Times New Roman"/>
          <w:sz w:val="24"/>
          <w:szCs w:val="24"/>
          <w:lang w:val="es-CO"/>
        </w:rPr>
        <w:t xml:space="preserve">Lámpara desmontable. El ítem marcado "no cumple" en la lista de chequeo del 16 de enero de 2026 fue atendido el 22 de enero de 2026, dentro del plazo contractual, con una lámpara portátil con extensión, según el formato PL-FO-13 suscrito por el Líder de Almacén, que la registra como "cumple" y "nueva", con registro fotográfico, y que se anexa. Como ese formato no consigna el concepto de recibo ni la firma de la supervisora, la supervisora verificó el elemento el </w:t>
      </w:r>
      <w:r>
        <w:rPr>
          <w:rFonts w:ascii="Times New Roman" w:eastAsia="Arial" w:hAnsi="Times New Roman" w:cs="Times New Roman"/>
          <w:highlight w:val="yellow"/>
          <w:sz w:val="24"/>
          <w:szCs w:val="24"/>
          <w:lang w:val="es-CO"/>
        </w:rPr>
        <w:t xml:space="preserve">fecha de octubre de 2026</w:t>
      </w:r>
      <w:r>
        <w:rPr>
          <w:rFonts w:ascii="Times New Roman" w:eastAsia="Arial" w:hAnsi="Times New Roman" w:cs="Times New Roman"/>
          <w:sz w:val="24"/>
          <w:szCs w:val="24"/>
          <w:lang w:val="es-CO"/>
        </w:rPr>
        <w:t xml:space="preserve"> y </w:t>
      </w:r>
      <w:r>
        <w:rPr>
          <w:rFonts w:ascii="Times New Roman" w:eastAsia="Arial" w:hAnsi="Times New Roman" w:cs="Times New Roman"/>
          <w:highlight w:val="yellow"/>
          <w:sz w:val="24"/>
          <w:szCs w:val="24"/>
          <w:lang w:val="es-CO"/>
        </w:rPr>
        <w:t xml:space="preserve">Variante 1: certificó que cumple la función de iluminación portátil a distancia del vehículo prevista en la Resolución 3100 de 2019, según certificación que se anexa / Variante 2: requirió a la contratista su reposición por un elemento de especificación asistencial, mediante oficio del (fecha) que se anexa. La supervisora debe inspeccionar físicamente el elemento en la IPS San Cayetano antes de certificar. No marcar casillas ni añadir firmas al formato del 22 de enero de 2026</w:t>
      </w:r>
      <w:r>
        <w:rPr>
          <w:rFonts w:ascii="Times New Roman" w:eastAsia="Arial" w:hAnsi="Times New Roman" w:cs="Times New Roman"/>
          <w:sz w:val="24"/>
          <w:szCs w:val="24"/>
          <w:lang w:val="es-CO"/>
        </w:rPr>
        <w:t xml:space="preserve">.</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f)</w:t>
        <w:tab/>
      </w:r>
      <w:r>
        <w:rPr>
          <w:rFonts w:ascii="Times New Roman" w:eastAsia="Arial" w:hAnsi="Times New Roman" w:cs="Times New Roman"/>
          <w:sz w:val="24"/>
          <w:szCs w:val="24"/>
          <w:lang w:val="es-CO"/>
        </w:rPr>
        <w:t xml:space="preserve">Lactato de Ringer. En el mismo formato del 22 de enero de 2026 consta la entrega de tres bolsas de lactato de Ringer </w:t>
      </w:r>
      <w:r>
        <w:rPr>
          <w:rFonts w:ascii="Times New Roman" w:eastAsia="Arial" w:hAnsi="Times New Roman" w:cs="Times New Roman"/>
          <w:highlight w:val="yellow"/>
          <w:sz w:val="24"/>
          <w:szCs w:val="24"/>
          <w:lang w:val="es-CO"/>
        </w:rPr>
        <w:t xml:space="preserve">lote y fecha de vencimiento, según el registro fotográfico o el kardex</w:t>
      </w:r>
      <w:r>
        <w:rPr>
          <w:rFonts w:ascii="Times New Roman" w:eastAsia="Arial" w:hAnsi="Times New Roman" w:cs="Times New Roman"/>
          <w:sz w:val="24"/>
          <w:szCs w:val="24"/>
          <w:lang w:val="es-CO"/>
        </w:rPr>
        <w:t xml:space="preserve">, en reemplazo de la unidad de la dotación inicial que vencía en febrero de 2026, atendiendo la observación de la lista de chequeo. </w:t>
      </w:r>
      <w:r>
        <w:rPr>
          <w:rFonts w:ascii="Times New Roman" w:eastAsia="Arial" w:hAnsi="Times New Roman" w:cs="Times New Roman"/>
          <w:highlight w:val="yellow"/>
          <w:sz w:val="24"/>
          <w:szCs w:val="24"/>
          <w:lang w:val="es-CO"/>
        </w:rPr>
        <w:t xml:space="preserve">Mencionar el control de inventario del servicio solo si se anexa el kardex o la certificación de la IPS San Cayetano.</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g)</w:t>
        <w:tab/>
      </w:r>
      <w:r>
        <w:rPr>
          <w:rFonts w:ascii="Times New Roman" w:eastAsia="Arial" w:hAnsi="Times New Roman" w:cs="Times New Roman"/>
          <w:sz w:val="24"/>
          <w:szCs w:val="24"/>
          <w:lang w:val="es-CO"/>
        </w:rPr>
        <w:t xml:space="preserve">Acta de entrega y recibo a satisfacción. El recibo del bien consta en cuatro documentos: el comprobante FCAF-55 del 26 de diciembre de 2025, con el que el almacén registró el activo; la lista de chequeo PL-FO-12 del 16 de enero de 2026, suscrita por la Coordinadora de la IPS San Cayetano y el Líder de Almacén, que confrontó la totalidad de las especificaciones técnicas, de carrocería, dotación y equipo de carretera de la Resolución 3100 de 2019; el formato PL-FO-13 del 22 de enero de 2026, para los elementos pendientes; y la licencia de tránsito del 30 de enero de 2026. La entidad reconoce que el acta de recibo de la cláusula sexta no se levantó entonces como documento único. Por ello, el </w:t>
      </w:r>
      <w:r>
        <w:rPr>
          <w:rFonts w:ascii="Times New Roman" w:eastAsia="Arial" w:hAnsi="Times New Roman" w:cs="Times New Roman"/>
          <w:highlight w:val="yellow"/>
          <w:sz w:val="24"/>
          <w:szCs w:val="24"/>
          <w:lang w:val="es-CO"/>
        </w:rPr>
        <w:t xml:space="preserve">fecha de octubre de 2026</w:t>
      </w:r>
      <w:r>
        <w:rPr>
          <w:rFonts w:ascii="Times New Roman" w:eastAsia="Arial" w:hAnsi="Times New Roman" w:cs="Times New Roman"/>
          <w:sz w:val="24"/>
          <w:szCs w:val="24"/>
          <w:lang w:val="es-CO"/>
        </w:rPr>
        <w:t xml:space="preserve">, la supervisora y el Líder de Almacén </w:t>
      </w:r>
      <w:r>
        <w:rPr>
          <w:rFonts w:ascii="Times New Roman" w:eastAsia="Arial" w:hAnsi="Times New Roman" w:cs="Times New Roman"/>
          <w:highlight w:val="yellow"/>
          <w:sz w:val="24"/>
          <w:szCs w:val="24"/>
          <w:lang w:val="es-CO"/>
        </w:rPr>
        <w:t xml:space="preserve">y la contratista, solo si acepta la salvedad</w:t>
      </w:r>
      <w:r>
        <w:rPr>
          <w:rFonts w:ascii="Times New Roman" w:eastAsia="Arial" w:hAnsi="Times New Roman" w:cs="Times New Roman"/>
          <w:sz w:val="24"/>
          <w:szCs w:val="24"/>
          <w:lang w:val="es-CO"/>
        </w:rPr>
        <w:t xml:space="preserve"> suscribieron el acta de verificación de cumplimiento y cierre del contrato, que se anexa: certifica, con remisión a esos soportes, la entrega del bien y su dotación el 16 y el 22 de enero de 2026 y la matrícula a favor de la entidad el 30 de enero de 2026, dentro del plazo contractual, e identifica el bien (placa, VIN, motor </w:t>
      </w:r>
      <w:r>
        <w:rPr>
          <w:rFonts w:ascii="Times New Roman" w:eastAsia="Arial" w:hAnsi="Times New Roman" w:cs="Times New Roman"/>
          <w:highlight w:val="yellow"/>
          <w:sz w:val="24"/>
          <w:szCs w:val="24"/>
          <w:lang w:val="es-CO"/>
        </w:rPr>
        <w:t xml:space="preserve">y kilometraje, solo si consta en la lista de chequeo o en fotografías del 16 de enero de 2026</w:t>
      </w:r>
      <w:r>
        <w:rPr>
          <w:rFonts w:ascii="Times New Roman" w:eastAsia="Arial" w:hAnsi="Times New Roman" w:cs="Times New Roman"/>
          <w:sz w:val="24"/>
          <w:szCs w:val="24"/>
          <w:lang w:val="es-CO"/>
        </w:rPr>
        <w:t xml:space="preserve">) y su ubicación en el municipio de San Cayetano </w:t>
      </w:r>
      <w:r>
        <w:rPr>
          <w:rFonts w:ascii="Times New Roman" w:eastAsia="Arial" w:hAnsi="Times New Roman" w:cs="Times New Roman"/>
          <w:highlight w:val="yellow"/>
          <w:sz w:val="24"/>
          <w:szCs w:val="24"/>
          <w:lang w:val="es-CO"/>
        </w:rPr>
        <w:t xml:space="preserve">, con la salvedad que allí consta sobre el dato de modelo de la factura, solo si se incluye el literal h)</w:t>
      </w:r>
      <w:r>
        <w:rPr>
          <w:rFonts w:ascii="Times New Roman" w:eastAsia="Arial" w:hAnsi="Times New Roman" w:cs="Times New Roman"/>
          <w:sz w:val="24"/>
          <w:szCs w:val="24"/>
          <w:lang w:val="es-CO"/>
        </w:rPr>
        <w:t xml:space="preserve"> </w:t>
      </w:r>
      <w:r>
        <w:rPr>
          <w:rFonts w:ascii="Times New Roman" w:eastAsia="Arial" w:hAnsi="Times New Roman" w:cs="Times New Roman"/>
          <w:highlight w:val="yellow"/>
          <w:sz w:val="24"/>
          <w:szCs w:val="24"/>
          <w:lang w:val="es-CO"/>
        </w:rPr>
        <w:t xml:space="preserve">suscribirla con la fecha actual, nunca con fecha de enero de 2026; sin "a entera satisfacción", "paz y salvo" ni "sin reclamación alguna"</w:t>
      </w:r>
      <w:r>
        <w:rPr>
          <w:rFonts w:ascii="Times New Roman" w:eastAsia="Arial" w:hAnsi="Times New Roman" w:cs="Times New Roman"/>
          <w:sz w:val="24"/>
          <w:szCs w:val="24"/>
          <w:lang w:val="es-CO"/>
        </w:rPr>
        <w:t xml:space="preserve">. Como acción de mejora, la entidad exigirá que el formato PL-FO-13, adoptado en enero de 2026, se diligencie íntegramente, con el concepto de recibo y la firma de la supervisión, como requisito de cierre de cada contrato de bienes.</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h)</w:t>
        <w:tab/>
      </w:r>
      <w:r>
        <w:rPr>
          <w:rFonts w:ascii="Times New Roman" w:eastAsia="Arial" w:hAnsi="Times New Roman" w:cs="Times New Roman"/>
          <w:sz w:val="24"/>
          <w:szCs w:val="24"/>
          <w:lang w:val="es-CO"/>
        </w:rPr>
        <w:t xml:space="preserve">Identificación y año-modelo del vehículo entregado. </w:t>
      </w:r>
      <w:r>
        <w:rPr>
          <w:rFonts w:ascii="Times New Roman" w:eastAsia="Arial" w:hAnsi="Times New Roman" w:cs="Times New Roman"/>
          <w:highlight w:val="yellow"/>
          <w:sz w:val="24"/>
          <w:szCs w:val="24"/>
          <w:lang w:val="es-CO"/>
        </w:rPr>
        <w:t xml:space="preserve">DECISIÓN DEL ABOGADO. Incluir este literal solo si la minuta, los estudios previos o la factura FEI2168 consignan "modelo 2026". Si ninguno exige año-modelo ni vehículo sin matricular, reemplazarlo por: "h) Año-modelo. Ni los estudios previos ni el contrato exigieron un año-modelo determinado ni un vehículo sin matrícula previa; la especificación fue el cumplimiento de la Resolución 3100 de 2019 para ambulancia TAB, verificado el 16 y el 22 de enero de 2026", suprimir el anexo 9 y retirar la referencia a la salvedad en g) y en el anexo 6. Si lo dicen, incluirlo: la Contraloría ya tiene la factura (2026), la lista de chequeo y la licencia (2025), y el literal c) lo deja a la vista. Confrontar también si el contrato exige 4x4 frente a la ficha técnica de la línea BJ1037V3KAV-1A.</w:t>
      </w:r>
      <w:r>
        <w:rPr>
          <w:rFonts w:ascii="Times New Roman" w:eastAsia="Arial" w:hAnsi="Times New Roman" w:cs="Times New Roman"/>
          <w:sz w:val="24"/>
          <w:szCs w:val="24"/>
          <w:lang w:val="es-CO"/>
        </w:rPr>
        <w:t xml:space="preserve"> El contrato y la factura FEI2168 describen el automotor como modelo 2026, mientras que la lista de chequeo del 16 de enero de 2026, la licencia de tránsito y el RUNT lo registran como modelo 2025. La entidad verificó que el vehículo entregado es el que identifican la factura y el comprobante FCAF-55 (VIN LVAV2KAB2SU314330, motor R088768) y que cumple las especificaciones técnicas de la Resolución 3100 de 2019 exigidas en el contrato, conforme a los literales e) y g). Mediante oficio del </w:t>
      </w:r>
      <w:r>
        <w:rPr>
          <w:rFonts w:ascii="Times New Roman" w:eastAsia="Arial" w:hAnsi="Times New Roman" w:cs="Times New Roman"/>
          <w:highlight w:val="yellow"/>
          <w:sz w:val="24"/>
          <w:szCs w:val="24"/>
          <w:lang w:val="es-CO"/>
        </w:rPr>
        <w:t xml:space="preserve">fecha, anterior a la de este oficio</w:t>
      </w:r>
      <w:r>
        <w:rPr>
          <w:rFonts w:ascii="Times New Roman" w:eastAsia="Arial" w:hAnsi="Times New Roman" w:cs="Times New Roman"/>
          <w:sz w:val="24"/>
          <w:szCs w:val="24"/>
          <w:lang w:val="es-CO"/>
        </w:rPr>
        <w:t xml:space="preserve"> la entidad requirió a la contratista la aclaración del dato de modelo de la factura electrónica y, de ser procedente, la nota de ajuste correspondiente, la ficha técnica del fabricante y la acreditación del estado del vehículo a la entrega. </w:t>
      </w:r>
      <w:r>
        <w:rPr>
          <w:rFonts w:ascii="Times New Roman" w:eastAsia="Arial" w:hAnsi="Times New Roman" w:cs="Times New Roman"/>
          <w:highlight w:val="yellow"/>
          <w:sz w:val="24"/>
          <w:szCs w:val="24"/>
          <w:lang w:val="es-CO"/>
        </w:rPr>
        <w:t xml:space="preserve">VARIANTE A, si la cotización acredita que el valor pagado es igual o inferior al de mercado de una TAB equivalente modelo 2025 a diciembre de 2025:</w:t>
      </w:r>
      <w:r>
        <w:rPr>
          <w:rFonts w:ascii="Times New Roman" w:eastAsia="Arial" w:hAnsi="Times New Roman" w:cs="Times New Roman"/>
          <w:sz w:val="24"/>
          <w:szCs w:val="24"/>
          <w:lang w:val="es-CO"/>
        </w:rPr>
        <w:t xml:space="preserve"> Según la cotización de </w:t>
      </w:r>
      <w:r>
        <w:rPr>
          <w:rFonts w:ascii="Times New Roman" w:eastAsia="Arial" w:hAnsi="Times New Roman" w:cs="Times New Roman"/>
          <w:highlight w:val="yellow"/>
          <w:sz w:val="24"/>
          <w:szCs w:val="24"/>
          <w:lang w:val="es-CO"/>
        </w:rPr>
        <w:t xml:space="preserve">concesionario</w:t>
      </w:r>
      <w:r>
        <w:rPr>
          <w:rFonts w:ascii="Times New Roman" w:eastAsia="Arial" w:hAnsi="Times New Roman" w:cs="Times New Roman"/>
          <w:sz w:val="24"/>
          <w:szCs w:val="24"/>
          <w:lang w:val="es-CO"/>
        </w:rPr>
        <w:t xml:space="preserve"> del </w:t>
      </w:r>
      <w:r>
        <w:rPr>
          <w:rFonts w:ascii="Times New Roman" w:eastAsia="Arial" w:hAnsi="Times New Roman" w:cs="Times New Roman"/>
          <w:highlight w:val="yellow"/>
          <w:sz w:val="24"/>
          <w:szCs w:val="24"/>
          <w:lang w:val="es-CO"/>
        </w:rPr>
        <w:t xml:space="preserve">fecha</w:t>
      </w:r>
      <w:r>
        <w:rPr>
          <w:rFonts w:ascii="Times New Roman" w:eastAsia="Arial" w:hAnsi="Times New Roman" w:cs="Times New Roman"/>
          <w:sz w:val="24"/>
          <w:szCs w:val="24"/>
          <w:lang w:val="es-CO"/>
        </w:rPr>
        <w:t xml:space="preserve">, que se anexa, el valor pagado corresponde al precio de mercado, a diciembre de 2025, de una ambulancia TAB de las mismas características, modelo 2025, con carrozado y dotación. </w:t>
      </w:r>
      <w:r>
        <w:rPr>
          <w:rFonts w:ascii="Times New Roman" w:eastAsia="Arial" w:hAnsi="Times New Roman" w:cs="Times New Roman"/>
          <w:highlight w:val="yellow"/>
          <w:sz w:val="24"/>
          <w:szCs w:val="24"/>
          <w:lang w:val="es-CO"/>
        </w:rPr>
        <w:t xml:space="preserve">VARIANTE B, si no se obtuvo la cotización o esta muestra diferencia:</w:t>
      </w:r>
      <w:r>
        <w:rPr>
          <w:rFonts w:ascii="Times New Roman" w:eastAsia="Arial" w:hAnsi="Times New Roman" w:cs="Times New Roman"/>
          <w:sz w:val="24"/>
          <w:szCs w:val="24"/>
          <w:lang w:val="es-CO"/>
        </w:rPr>
        <w:t xml:space="preserve"> La entidad verifica con </w:t>
      </w:r>
      <w:r>
        <w:rPr>
          <w:rFonts w:ascii="Times New Roman" w:eastAsia="Arial" w:hAnsi="Times New Roman" w:cs="Times New Roman"/>
          <w:highlight w:val="yellow"/>
          <w:sz w:val="24"/>
          <w:szCs w:val="24"/>
          <w:lang w:val="es-CO"/>
        </w:rPr>
        <w:t xml:space="preserve">concesionario</w:t>
      </w:r>
      <w:r>
        <w:rPr>
          <w:rFonts w:ascii="Times New Roman" w:eastAsia="Arial" w:hAnsi="Times New Roman" w:cs="Times New Roman"/>
          <w:sz w:val="24"/>
          <w:szCs w:val="24"/>
          <w:lang w:val="es-CO"/>
        </w:rPr>
        <w:t xml:space="preserve"> el valor de mercado del vehículo entregado a la fecha del contrato; informará su resultado al equipo auditor dentro del proceso auditor y ejercerá frente a la contratista las acciones contractuales y legales a que haya lugar. La situación no afecta la aptitud del bien para el servicio ni su titularidad en cabeza de la E.S.E. </w:t>
      </w:r>
      <w:r>
        <w:rPr>
          <w:rFonts w:ascii="Times New Roman" w:eastAsia="Arial" w:hAnsi="Times New Roman" w:cs="Times New Roman"/>
          <w:highlight w:val="yellow"/>
          <w:sz w:val="24"/>
          <w:szCs w:val="24"/>
          <w:lang w:val="es-CO"/>
        </w:rPr>
        <w:t xml:space="preserve">No usar en este oficio: "incumplimiento", "bien distinto al contratado", "diferencia de valor", "sobrecosto", "usado", "anticipado", "antes de la entrega". Si la Resolución 1947 de 2025 exigía vehículo nuevo o condicionó los recursos, el riesgo de reintegro se maneja con el Ministerio, no aquí.</w:t>
      </w:r>
    </w:p>
    <w:p>
      <w:pPr>
        <w:keepNext/>
        <w:spacing w:before="12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3. Anexos</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1.</w:t>
        <w:tab/>
      </w:r>
      <w:r>
        <w:rPr>
          <w:rFonts w:ascii="Times New Roman" w:eastAsia="Arial" w:hAnsi="Times New Roman" w:cs="Times New Roman"/>
          <w:sz w:val="24"/>
          <w:szCs w:val="24"/>
          <w:lang w:val="es-CO"/>
        </w:rPr>
        <w:t xml:space="preserve">Requerimiento de la E.S.E. a la contratista del 2 de octubre de 2026.</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2.</w:t>
        <w:tab/>
      </w:r>
      <w:r>
        <w:rPr>
          <w:rFonts w:ascii="Times New Roman" w:eastAsia="Arial" w:hAnsi="Times New Roman" w:cs="Times New Roman"/>
          <w:sz w:val="24"/>
          <w:szCs w:val="24"/>
          <w:lang w:val="es-CO"/>
        </w:rPr>
        <w:t xml:space="preserve">Respuesta de Import Medical Supplies S.A.S. del 6 de octubre de 2026 y sus anexos, en los términos recibidos; requerimiento de aclaración de la entidad del </w:t>
      </w:r>
      <w:r>
        <w:rPr>
          <w:rFonts w:ascii="Times New Roman" w:eastAsia="Arial" w:hAnsi="Times New Roman" w:cs="Times New Roman"/>
          <w:highlight w:val="yellow"/>
          <w:sz w:val="24"/>
          <w:szCs w:val="24"/>
          <w:lang w:val="es-CO"/>
        </w:rPr>
        <w:t xml:space="preserve">fecha</w:t>
      </w:r>
      <w:r>
        <w:rPr>
          <w:rFonts w:ascii="Times New Roman" w:eastAsia="Arial" w:hAnsi="Times New Roman" w:cs="Times New Roman"/>
          <w:sz w:val="24"/>
          <w:szCs w:val="24"/>
          <w:lang w:val="es-CO"/>
        </w:rPr>
        <w:t xml:space="preserve"> </w:t>
      </w:r>
      <w:r>
        <w:rPr>
          <w:rFonts w:ascii="Times New Roman" w:eastAsia="Arial" w:hAnsi="Times New Roman" w:cs="Times New Roman"/>
          <w:highlight w:val="yellow"/>
          <w:sz w:val="24"/>
          <w:szCs w:val="24"/>
          <w:lang w:val="es-CO"/>
        </w:rPr>
        <w:t xml:space="preserve">y aclaración de la contratista del (fecha)</w:t>
      </w:r>
      <w:r>
        <w:rPr>
          <w:rFonts w:ascii="Times New Roman" w:eastAsia="Arial" w:hAnsi="Times New Roman" w:cs="Times New Roman"/>
          <w:sz w:val="24"/>
          <w:szCs w:val="24"/>
          <w:lang w:val="es-CO"/>
        </w:rPr>
        <w:t xml:space="preserve">.</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3.</w:t>
        <w:tab/>
      </w:r>
      <w:r>
        <w:rPr>
          <w:rFonts w:ascii="Times New Roman" w:eastAsia="Arial" w:hAnsi="Times New Roman" w:cs="Times New Roman"/>
          <w:sz w:val="24"/>
          <w:szCs w:val="24"/>
          <w:lang w:val="es-CO"/>
        </w:rPr>
        <w:t xml:space="preserve">Consulta del RUNT de la placa NSX651 generada por la E.S.E. el </w:t>
      </w:r>
      <w:r>
        <w:rPr>
          <w:rFonts w:ascii="Times New Roman" w:eastAsia="Arial" w:hAnsi="Times New Roman" w:cs="Times New Roman"/>
          <w:highlight w:val="yellow"/>
          <w:sz w:val="24"/>
          <w:szCs w:val="24"/>
          <w:lang w:val="es-CO"/>
        </w:rPr>
        <w:t xml:space="preserve">fecha</w:t>
      </w:r>
      <w:r>
        <w:rPr>
          <w:rFonts w:ascii="Times New Roman" w:eastAsia="Arial" w:hAnsi="Times New Roman" w:cs="Times New Roman"/>
          <w:sz w:val="24"/>
          <w:szCs w:val="24"/>
          <w:lang w:val="es-CO"/>
        </w:rPr>
        <w:t xml:space="preserve">, con datos del vehículo, limitaciones y SOAT, y solicitud del certificado de tradición al organismo de tránsito </w:t>
      </w:r>
      <w:r>
        <w:rPr>
          <w:rFonts w:ascii="Times New Roman" w:eastAsia="Arial" w:hAnsi="Times New Roman" w:cs="Times New Roman"/>
          <w:highlight w:val="yellow"/>
          <w:sz w:val="24"/>
          <w:szCs w:val="24"/>
          <w:lang w:val="es-CO"/>
        </w:rPr>
        <w:t xml:space="preserve">radicado</w:t>
      </w:r>
      <w:r>
        <w:rPr>
          <w:rFonts w:ascii="Times New Roman" w:eastAsia="Arial" w:hAnsi="Times New Roman" w:cs="Times New Roman"/>
          <w:sz w:val="24"/>
          <w:szCs w:val="24"/>
          <w:lang w:val="es-CO"/>
        </w:rPr>
        <w:t xml:space="preserve"> </w:t>
      </w:r>
      <w:r>
        <w:rPr>
          <w:rFonts w:ascii="Times New Roman" w:eastAsia="Arial" w:hAnsi="Times New Roman" w:cs="Times New Roman"/>
          <w:highlight w:val="yellow"/>
          <w:sz w:val="24"/>
          <w:szCs w:val="24"/>
          <w:lang w:val="es-CO"/>
        </w:rPr>
        <w:t xml:space="preserve">por generar hoy</w:t>
      </w:r>
      <w:r>
        <w:rPr>
          <w:rFonts w:ascii="Times New Roman" w:eastAsia="Arial" w:hAnsi="Times New Roman" w:cs="Times New Roman"/>
          <w:sz w:val="24"/>
          <w:szCs w:val="24"/>
          <w:lang w:val="es-CO"/>
        </w:rPr>
        <w:t xml:space="preserve">.</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4.</w:t>
        <w:tab/>
      </w:r>
      <w:r>
        <w:rPr>
          <w:rFonts w:ascii="Times New Roman" w:eastAsia="Arial" w:hAnsi="Times New Roman" w:cs="Times New Roman"/>
          <w:sz w:val="24"/>
          <w:szCs w:val="24"/>
          <w:lang w:val="es-CO"/>
        </w:rPr>
        <w:t xml:space="preserve">Licencia de tránsito N° 10037693011 del 30 de enero de 2026, a nombre de la E.S.E. (se anexa de nuevo para facilidad de consulta).</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5.</w:t>
        <w:tab/>
      </w:r>
      <w:r>
        <w:rPr>
          <w:rFonts w:ascii="Times New Roman" w:eastAsia="Arial" w:hAnsi="Times New Roman" w:cs="Times New Roman"/>
          <w:sz w:val="24"/>
          <w:szCs w:val="24"/>
          <w:lang w:val="es-CO"/>
        </w:rPr>
        <w:t xml:space="preserve">Formato de recibido PL-FO-13 del 22 de enero de 2026 y certificación de la supervisora del contrato del </w:t>
      </w:r>
      <w:r>
        <w:rPr>
          <w:rFonts w:ascii="Times New Roman" w:eastAsia="Arial" w:hAnsi="Times New Roman" w:cs="Times New Roman"/>
          <w:highlight w:val="yellow"/>
          <w:sz w:val="24"/>
          <w:szCs w:val="24"/>
          <w:lang w:val="es-CO"/>
        </w:rPr>
        <w:t xml:space="preserve">fecha de 2026</w:t>
      </w:r>
      <w:r>
        <w:rPr>
          <w:rFonts w:ascii="Times New Roman" w:eastAsia="Arial" w:hAnsi="Times New Roman" w:cs="Times New Roman"/>
          <w:sz w:val="24"/>
          <w:szCs w:val="24"/>
          <w:lang w:val="es-CO"/>
        </w:rPr>
        <w:t xml:space="preserve"> </w:t>
      </w:r>
      <w:r>
        <w:rPr>
          <w:rFonts w:ascii="Times New Roman" w:eastAsia="Arial" w:hAnsi="Times New Roman" w:cs="Times New Roman"/>
          <w:highlight w:val="yellow"/>
          <w:sz w:val="24"/>
          <w:szCs w:val="24"/>
          <w:lang w:val="es-CO"/>
        </w:rPr>
        <w:t xml:space="preserve">por expedir, tras inspección física</w:t>
      </w:r>
      <w:r>
        <w:rPr>
          <w:rFonts w:ascii="Times New Roman" w:eastAsia="Arial" w:hAnsi="Times New Roman" w:cs="Times New Roman"/>
          <w:sz w:val="24"/>
          <w:szCs w:val="24"/>
          <w:lang w:val="es-CO"/>
        </w:rPr>
        <w:t xml:space="preserve">.</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6.</w:t>
        <w:tab/>
      </w:r>
      <w:r>
        <w:rPr>
          <w:rFonts w:ascii="Times New Roman" w:eastAsia="Arial" w:hAnsi="Times New Roman" w:cs="Times New Roman"/>
          <w:sz w:val="24"/>
          <w:szCs w:val="24"/>
          <w:lang w:val="es-CO"/>
        </w:rPr>
        <w:t xml:space="preserve">Acta de verificación de cumplimiento y cierre del Contrato N° 1056 de 2025 del </w:t>
      </w:r>
      <w:r>
        <w:rPr>
          <w:rFonts w:ascii="Times New Roman" w:eastAsia="Arial" w:hAnsi="Times New Roman" w:cs="Times New Roman"/>
          <w:highlight w:val="yellow"/>
          <w:sz w:val="24"/>
          <w:szCs w:val="24"/>
          <w:lang w:val="es-CO"/>
        </w:rPr>
        <w:t xml:space="preserve">fecha de octubre de 2026</w:t>
      </w:r>
      <w:r>
        <w:rPr>
          <w:rFonts w:ascii="Times New Roman" w:eastAsia="Arial" w:hAnsi="Times New Roman" w:cs="Times New Roman"/>
          <w:sz w:val="24"/>
          <w:szCs w:val="24"/>
          <w:lang w:val="es-CO"/>
        </w:rPr>
        <w:t xml:space="preserve"> </w:t>
      </w:r>
      <w:r>
        <w:rPr>
          <w:rFonts w:ascii="Times New Roman" w:eastAsia="Arial" w:hAnsi="Times New Roman" w:cs="Times New Roman"/>
          <w:highlight w:val="yellow"/>
          <w:sz w:val="24"/>
          <w:szCs w:val="24"/>
          <w:lang w:val="es-CO"/>
        </w:rPr>
        <w:t xml:space="preserve">por suscribir, con la salvedad si se incluye h)</w:t>
      </w:r>
      <w:r>
        <w:rPr>
          <w:rFonts w:ascii="Times New Roman" w:eastAsia="Arial" w:hAnsi="Times New Roman" w:cs="Times New Roman"/>
          <w:sz w:val="24"/>
          <w:szCs w:val="24"/>
          <w:lang w:val="es-CO"/>
        </w:rPr>
        <w:t xml:space="preserve">.</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7.</w:t>
        <w:tab/>
      </w:r>
      <w:r>
        <w:rPr>
          <w:rFonts w:ascii="Times New Roman" w:eastAsia="Arial" w:hAnsi="Times New Roman" w:cs="Times New Roman"/>
          <w:sz w:val="24"/>
          <w:szCs w:val="24"/>
          <w:lang w:val="es-CO"/>
        </w:rPr>
        <w:t xml:space="preserve">Apartes del contrato </w:t>
      </w:r>
      <w:r>
        <w:rPr>
          <w:rFonts w:ascii="Times New Roman" w:eastAsia="Arial" w:hAnsi="Times New Roman" w:cs="Times New Roman"/>
          <w:highlight w:val="yellow"/>
          <w:sz w:val="24"/>
          <w:szCs w:val="24"/>
          <w:lang w:val="es-CO"/>
        </w:rPr>
        <w:t xml:space="preserve">y de los estudios previos</w:t>
      </w:r>
      <w:r>
        <w:rPr>
          <w:rFonts w:ascii="Times New Roman" w:eastAsia="Arial" w:hAnsi="Times New Roman" w:cs="Times New Roman"/>
          <w:sz w:val="24"/>
          <w:szCs w:val="24"/>
          <w:lang w:val="es-CO"/>
        </w:rPr>
        <w:t xml:space="preserve"> donde consta la causal de contratación directa.</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8.</w:t>
        <w:tab/>
      </w:r>
      <w:r>
        <w:rPr>
          <w:rFonts w:ascii="Times New Roman" w:eastAsia="Arial" w:hAnsi="Times New Roman" w:cs="Times New Roman"/>
          <w:highlight w:val="yellow"/>
          <w:sz w:val="24"/>
          <w:szCs w:val="24"/>
          <w:lang w:val="es-CO"/>
        </w:rPr>
        <w:t xml:space="preserve">Solo si no se enviaron el 1 de octubre: lista de chequeo PL-FO-12 del 16 de enero de 2026; comprobantes de egreso CE-10213 y CE-10217; informes de actividades y de supervisión del periodo 17 al 31 de diciembre de 2025.</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9.</w:t>
        <w:tab/>
      </w:r>
      <w:r>
        <w:rPr>
          <w:rFonts w:ascii="Times New Roman" w:eastAsia="Arial" w:hAnsi="Times New Roman" w:cs="Times New Roman"/>
          <w:highlight w:val="yellow"/>
          <w:sz w:val="24"/>
          <w:szCs w:val="24"/>
          <w:lang w:val="es-CO"/>
        </w:rPr>
        <w:t xml:space="preserve">Solo si se incluye el literal h): requerimiento a la contratista sobre el dato de modelo de la factura y cotización del concesionario.</w:t>
      </w:r>
    </w:p>
    <w:p>
      <w:pPr>
        <w:keepNext/>
        <w:spacing w:before="12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4. Consideración final</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El bien adquirido existe, está inscrito a nombre de la E.S.E. sin limitaciones a la propiedad, cumple las especificaciones técnicas de la Resolución 3100 de 2019 verificadas el 16 de enero de 2026, se pagó por el valor contratado </w:t>
      </w:r>
      <w:r>
        <w:rPr>
          <w:rFonts w:ascii="Times New Roman" w:eastAsia="Arial" w:hAnsi="Times New Roman" w:cs="Times New Roman"/>
          <w:highlight w:val="yellow"/>
          <w:sz w:val="24"/>
          <w:szCs w:val="24"/>
          <w:lang w:val="es-CO"/>
        </w:rPr>
        <w:t xml:space="preserve">, respaldado en las cotizaciones del estudio de mercado que se anexan, solo si existen al menos dos cotizaciones independientes de la contratista</w:t>
      </w:r>
      <w:r>
        <w:rPr>
          <w:rFonts w:ascii="Times New Roman" w:eastAsia="Arial" w:hAnsi="Times New Roman" w:cs="Times New Roman"/>
          <w:sz w:val="24"/>
          <w:szCs w:val="24"/>
          <w:lang w:val="es-CO"/>
        </w:rPr>
        <w:t xml:space="preserve"> y </w:t>
      </w:r>
      <w:r>
        <w:rPr>
          <w:rFonts w:ascii="Times New Roman" w:eastAsia="Arial" w:hAnsi="Times New Roman" w:cs="Times New Roman"/>
          <w:highlight w:val="yellow"/>
          <w:sz w:val="24"/>
          <w:szCs w:val="24"/>
          <w:lang w:val="es-CO"/>
        </w:rPr>
        <w:t xml:space="preserve">presta servicio en la IPS San Cayetano, solo si se confirma la habilitación en el REPS; si no: está asignado a la IPS San Cayetano</w:t>
      </w:r>
      <w:r>
        <w:rPr>
          <w:rFonts w:ascii="Times New Roman" w:eastAsia="Arial" w:hAnsi="Times New Roman" w:cs="Times New Roman"/>
          <w:sz w:val="24"/>
          <w:szCs w:val="24"/>
          <w:lang w:val="es-CO"/>
        </w:rPr>
        <w:t xml:space="preserve">. Con fundamento en lo anterior, la entidad considera que las situaciones advertidas no comportan detrimento al patrimonio público en los términos del artículo 6 de la Ley 610 de 2000, modificado por el artículo 126 del Decreto Ley 403 de 2020, y tienen carácter administrativo </w:t>
      </w:r>
      <w:r>
        <w:rPr>
          <w:rFonts w:ascii="Times New Roman" w:eastAsia="Arial" w:hAnsi="Times New Roman" w:cs="Times New Roman"/>
          <w:highlight w:val="yellow"/>
          <w:sz w:val="24"/>
          <w:szCs w:val="24"/>
          <w:lang w:val="es-CO"/>
        </w:rPr>
        <w:t xml:space="preserve">, sin perjuicio de la verificación descrita en el literal h), cuyo resultado se informará al equipo auditor, solo en la Variante B</w:t>
      </w:r>
      <w:r>
        <w:rPr>
          <w:rFonts w:ascii="Times New Roman" w:eastAsia="Arial" w:hAnsi="Times New Roman" w:cs="Times New Roman"/>
          <w:sz w:val="24"/>
          <w:szCs w:val="24"/>
          <w:lang w:val="es-CO"/>
        </w:rPr>
        <w:t xml:space="preserve">. La ordenadora del gasto actuó con base en las certificaciones de la supervisión, del almacén y del área de presupuesto, y las deficiencias documentales del expediente fueron atendidas por la entidad durante el proceso auditor, en atención a las observaciones del equipo auditor y antes del informe preliminar, con los documentos que se anexan, lo que solicita se valore como beneficio del control fiscal. </w:t>
      </w:r>
      <w:r>
        <w:rPr>
          <w:rFonts w:ascii="Times New Roman" w:eastAsia="Arial" w:hAnsi="Times New Roman" w:cs="Times New Roman"/>
          <w:highlight w:val="yellow"/>
          <w:sz w:val="24"/>
          <w:szCs w:val="24"/>
          <w:lang w:val="es-CO"/>
        </w:rPr>
        <w:t xml:space="preserve">Si al radicar nada queda pendiente de terceros, suprimir la frase siguiente:</w:t>
      </w:r>
      <w:r>
        <w:rPr>
          <w:rFonts w:ascii="Times New Roman" w:eastAsia="Arial" w:hAnsi="Times New Roman" w:cs="Times New Roman"/>
          <w:sz w:val="24"/>
          <w:szCs w:val="24"/>
          <w:lang w:val="es-CO"/>
        </w:rPr>
        <w:t xml:space="preserve"> Las aclaraciones que dependen de la contratista y del organismo de tránsito están en trámite en los términos indicados.</w:t>
      </w:r>
    </w:p>
    <w:p>
      <w:pPr>
        <w:keepNext/>
        <w:spacing w:before="12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5. Solicitud</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Con fundamento en lo expuesto y en los documentos que se anexan, la E.S.E. Hospital Regional Centro solicita respetuosamente al equipo auditor tener por atendidas las observaciones sobre el Contrato N° 1056 de 2025 o, en su defecto, calificarlas como de carácter administrativo para su inclusión en el plan de mejoramiento. La entidad reitera su disposición de aportar la información o aclaración adicional que el equipo auditor considere necesaria y de atender las verificaciones que estime pertinentes.</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Atentamente,</w:t>
      </w:r>
    </w:p>
    <w:p>
      <w:pPr>
        <w:spacing w:before="0" w:after="0" w:line="276" w:lineRule="auto"/>
        <w:jc w:val="both"/>
        <w:rPr>
          <w:rFonts w:ascii="Times New Roman" w:eastAsia="Arial" w:hAnsi="Times New Roman" w:cs="Times New Roman"/>
          <w:sz w:val="24"/>
          <w:szCs w:val="24"/>
          <w:lang w:val="es-CO"/>
        </w:rPr>
      </w:pPr>
    </w:p>
    <w:p>
      <w:pPr>
        <w:spacing w:before="0" w:after="0" w:line="276" w:lineRule="auto"/>
        <w:jc w:val="both"/>
        <w:rPr>
          <w:rFonts w:ascii="Times New Roman" w:eastAsia="Arial" w:hAnsi="Times New Roman" w:cs="Times New Roman"/>
          <w:sz w:val="24"/>
          <w:szCs w:val="24"/>
          <w:lang w:val="es-CO"/>
        </w:rPr>
      </w:pPr>
    </w:p>
    <w:p>
      <w:pPr>
        <w:spacing w:before="0" w:after="0" w:line="276" w:lineRule="auto"/>
        <w:jc w:val="both"/>
        <w:rPr>
          <w:rFonts w:ascii="Times New Roman" w:eastAsia="Arial" w:hAnsi="Times New Roman" w:cs="Times New Roman"/>
          <w:sz w:val="24"/>
          <w:szCs w:val="24"/>
          <w:lang w:val="es-CO"/>
        </w:rPr>
      </w:pPr>
    </w:p>
    <w:p>
      <w:pPr>
        <w:spacing w:before="0" w:after="0" w:line="276" w:lineRule="auto"/>
        <w:jc w:val="left"/>
        <w:rPr>
          <w:rFonts w:ascii="Times New Roman" w:eastAsia="Arial" w:hAnsi="Times New Roman" w:cs="Times New Roman"/>
          <w:b/>
          <w:bCs/>
          <w:sz w:val="24"/>
          <w:szCs w:val="24"/>
          <w:lang w:val="es-CO"/>
        </w:rPr>
      </w:pPr>
      <w:r>
        <w:rPr>
          <w:rFonts w:ascii="Times New Roman" w:eastAsia="Arial" w:hAnsi="Times New Roman" w:cs="Times New Roman"/>
          <w:b/>
          <w:bCs/>
          <w:sz w:val="24"/>
          <w:szCs w:val="24"/>
          <w:lang w:val="es-CO"/>
        </w:rPr>
        <w:t xml:space="preserve">CLAUDIA BELÉN JULIO SEPÚLVEDA</w:t>
      </w:r>
    </w:p>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Gerente, E.S.E. Hospital Regional Centro</w:t>
      </w:r>
    </w:p>
    <w:p>
      <w:pPr>
        <w:spacing w:before="0" w:after="0" w:line="276" w:lineRule="auto"/>
        <w:jc w:val="both"/>
        <w:rPr>
          <w:rFonts w:ascii="Times New Roman" w:eastAsia="Arial" w:hAnsi="Times New Roman" w:cs="Times New Roman"/>
          <w:sz w:val="24"/>
          <w:szCs w:val="24"/>
          <w:lang w:val="es-CO"/>
        </w:rPr>
      </w:pPr>
    </w:p>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Anexos: los relacionados en el numeral 3.</w:t>
      </w:r>
    </w:p>
    <w:p>
      <w:pPr>
        <w:spacing w:after="0"/>
      </w:pPr>
    </w:p>
    <w:tbl>
      <w:tblPr>
        <w:tblStyle w:val="Tablaconcuadrcula"/>
        <w:tblW w:w="5000" w:type="pct"/>
        <w:tblLook w:val="04A0" w:firstRow="1" w:lastRow="0" w:firstColumn="1" w:lastColumn="0" w:noHBand="0" w:noVBand="1"/>
      </w:tblPr>
      <w:tblGrid>
        <w:gridCol w:w="1036"/>
        <w:gridCol w:w="4854"/>
        <w:gridCol w:w="2938"/>
      </w:tblGrid>
      <w:tr w:rsidR="00CD0C5B" w:rsidRPr="00BB4C1B" w14:paraId="1055D3B5" w14:textId="77777777" w:rsidTr="00BB4C1B">
        <w:trPr>
          <w:trHeight w:val="283"/>
        </w:trPr>
        <w:tc>
          <w:tcPr>
            <w:tcW w:w="587" w:type="pct"/>
            <w:vAlign w:val="center"/>
          </w:tcPr>
          <w:p w14:paraId="18C3E441" w14:textId="77777777" w:rsidR="00CD0C5B" w:rsidRPr="00BB4C1B" w:rsidRDefault="00CD0C5B" w:rsidP="00015045">
            <w:pPr>
              <w:spacing w:after="0"/>
              <w:jc w:val="center"/>
              <w:rPr>
                <w:rFonts w:ascii="Times New Roman" w:hAnsi="Times New Roman" w:cs="Times New Roman"/>
                <w:kern w:val="2"/>
              </w:rPr>
            </w:pPr>
            <w:r>
              <w:rPr>
                <w:rFonts w:ascii="Times New Roman" w:hAnsi="Times New Roman" w:cs="Times New Roman"/>
                <w:kern w:val="2"/>
              </w:rPr>
              <w:t>Revisó:</w:t>
            </w:r>
          </w:p>
        </w:tc>
        <w:tc>
          <w:tcPr>
            <w:tcW w:w="2749" w:type="pct"/>
            <w:vAlign w:val="center"/>
          </w:tcPr>
          <w:p w14:paraId="2E184E28" w14:textId="73E84B4E" w:rsidR="00CD0C5B" w:rsidRPr="00BB4C1B" w:rsidRDefault="00BB4C1B" w:rsidP="00015045">
            <w:pPr>
              <w:spacing w:after="0"/>
              <w:jc w:val="left"/>
              <w:rPr>
                <w:rFonts w:ascii="Times New Roman" w:hAnsi="Times New Roman" w:cs="Times New Roman"/>
                <w:kern w:val="2"/>
              </w:rPr>
            </w:pPr>
            <w:r>
              <w:rPr>
                <w:rFonts w:ascii="Times New Roman" w:hAnsi="Times New Roman" w:cs="Times New Roman"/>
                <w:kern w:val="2"/>
              </w:rPr>
              <w:t>Natalia Angarita, Ramos Mejía &amp; Abogados S.A.S</w:t>
            </w:r>
          </w:p>
        </w:tc>
        <w:tc>
          <w:tcPr>
            <w:tcW w:w="1664" w:type="pct"/>
            <w:vAlign w:val="center"/>
          </w:tcPr>
          <w:p w14:paraId="757B2560" w14:textId="336622BF" w:rsidR="00CD0C5B" w:rsidRPr="00BB4C1B" w:rsidRDefault="00CD0C5B" w:rsidP="00015045">
            <w:pPr>
              <w:spacing w:after="0"/>
              <w:jc w:val="left"/>
              <w:rPr>
                <w:rFonts w:ascii="Times New Roman" w:hAnsi="Times New Roman" w:cs="Times New Roman"/>
                <w:kern w:val="2"/>
              </w:rPr>
            </w:pPr>
            <w:r>
              <w:rPr>
                <w:rFonts w:ascii="Times New Roman" w:hAnsi="Times New Roman" w:cs="Times New Roman"/>
                <w:kern w:val="2"/>
              </w:rPr>
              <w:t xml:space="preserve">Firma: </w:t>
            </w:r>
          </w:p>
        </w:tc>
      </w:tr>
    </w:tbl>
    <w:p>
      <w:pPr>
        <w:spacing w:after="0"/>
      </w:pPr>
    </w:p>
    <w:sectPr w:rsidR="00DE4070">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3B65F" w14:textId="77777777" w:rsidR="00102157" w:rsidRDefault="00102157">
      <w:r>
        <w:separator/>
      </w:r>
    </w:p>
  </w:endnote>
  <w:endnote w:type="continuationSeparator" w:id="0">
    <w:p w14:paraId="241B7C14" w14:textId="77777777" w:rsidR="00102157" w:rsidRDefault="00102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09BDC" w14:textId="77777777" w:rsidR="00DE4070" w:rsidRDefault="00000000">
    <w:pPr>
      <w:suppressAutoHyphens/>
      <w:spacing w:after="0"/>
      <w:ind w:right="360"/>
      <w:jc w:val="center"/>
      <w:rPr>
        <w:rFonts w:eastAsia="Times New Roman" w:cs="Times New Roman"/>
        <w:b/>
        <w:i/>
        <w:iCs/>
        <w:color w:val="000000"/>
        <w:sz w:val="20"/>
        <w:szCs w:val="20"/>
        <w:lang w:val="es-ES" w:eastAsia="es-ES"/>
      </w:rPr>
    </w:pPr>
    <w:r>
      <w:rPr>
        <w:rFonts w:eastAsia="Times New Roman" w:cs="Times New Roman"/>
        <w:b/>
        <w:i/>
        <w:iCs/>
        <w:color w:val="000000"/>
        <w:sz w:val="20"/>
        <w:szCs w:val="20"/>
        <w:lang w:val="es-ES" w:eastAsia="es-ES"/>
      </w:rPr>
      <w:t xml:space="preserve">"Unidos por una atención </w:t>
    </w:r>
    <w:proofErr w:type="gramStart"/>
    <w:r>
      <w:rPr>
        <w:rFonts w:eastAsia="Times New Roman" w:cs="Times New Roman"/>
        <w:b/>
        <w:i/>
        <w:iCs/>
        <w:color w:val="000000"/>
        <w:sz w:val="20"/>
        <w:szCs w:val="20"/>
        <w:lang w:val="es-ES" w:eastAsia="es-ES"/>
      </w:rPr>
      <w:t>más segura y más humana</w:t>
    </w:r>
    <w:proofErr w:type="gramEnd"/>
    <w:r>
      <w:rPr>
        <w:rFonts w:eastAsia="Times New Roman" w:cs="Times New Roman"/>
        <w:b/>
        <w:i/>
        <w:iCs/>
        <w:color w:val="000000"/>
        <w:sz w:val="20"/>
        <w:szCs w:val="20"/>
        <w:lang w:val="es-ES" w:eastAsia="es-ES"/>
      </w:rPr>
      <w:t>"</w:t>
    </w:r>
  </w:p>
  <w:p w14:paraId="62C8233B" w14:textId="77777777" w:rsidR="00DE4070" w:rsidRDefault="00000000">
    <w:pPr>
      <w:suppressAutoHyphens/>
      <w:spacing w:after="0"/>
      <w:ind w:right="360"/>
      <w:jc w:val="center"/>
      <w:rPr>
        <w:rFonts w:eastAsia="Times New Roman" w:cs="Times New Roman"/>
        <w:color w:val="000000"/>
        <w:sz w:val="18"/>
        <w:szCs w:val="18"/>
        <w:lang w:val="es-ES" w:eastAsia="es-ES"/>
      </w:rPr>
    </w:pPr>
    <w:r>
      <w:rPr>
        <w:rFonts w:eastAsia="Times New Roman" w:cs="Times New Roman"/>
        <w:color w:val="000000"/>
        <w:sz w:val="18"/>
        <w:szCs w:val="18"/>
        <w:lang w:val="es-ES" w:eastAsia="es-ES"/>
      </w:rPr>
      <w:t>KDX VDA, BARRIO MIRAFLOREZ, Cel.3118111189</w:t>
    </w:r>
  </w:p>
  <w:p w14:paraId="32FC863F" w14:textId="07455C00" w:rsidR="00DE4070" w:rsidRDefault="00173B02">
    <w:pPr>
      <w:tabs>
        <w:tab w:val="center" w:pos="4419"/>
        <w:tab w:val="right" w:pos="8838"/>
      </w:tabs>
      <w:suppressAutoHyphens/>
      <w:spacing w:after="0"/>
      <w:jc w:val="center"/>
      <w:rPr>
        <w:rFonts w:eastAsia="Arial" w:cs="Arial"/>
        <w:color w:val="000000"/>
        <w:sz w:val="18"/>
        <w:szCs w:val="18"/>
        <w:lang w:val="es-ES" w:eastAsia="es-ES"/>
      </w:rPr>
    </w:pPr>
    <w:hyperlink r:id="rId1" w:history="1">
      <w:r w:rsidRPr="009B58E2">
        <w:rPr>
          <w:rStyle w:val="Hipervnculo"/>
          <w:rFonts w:eastAsia="Arial" w:cs="Arial"/>
          <w:sz w:val="18"/>
          <w:szCs w:val="18"/>
          <w:lang w:val="es-ES" w:eastAsia="es-ES"/>
        </w:rPr>
        <w:t>secretariageneral@centroese.gov.co</w:t>
      </w:r>
    </w:hyperlink>
    <w:r>
      <w:rPr>
        <w:rFonts w:eastAsia="Arial" w:cs="Arial"/>
        <w:color w:val="000000"/>
        <w:sz w:val="18"/>
        <w:szCs w:val="18"/>
        <w:lang w:val="es-ES" w:eastAsia="es-ES"/>
      </w:rPr>
      <w:t xml:space="preserve"> – </w:t>
    </w:r>
    <w:hyperlink r:id="rId2" w:history="1">
      <w:r>
        <w:rPr>
          <w:rFonts w:eastAsia="Arial" w:cs="Arial"/>
          <w:color w:val="0563C1"/>
          <w:sz w:val="18"/>
          <w:szCs w:val="18"/>
          <w:u w:val="single"/>
          <w:lang w:val="es-ES" w:eastAsia="es-ES"/>
        </w:rPr>
        <w:t>www.esecentro.com</w:t>
      </w:r>
    </w:hyperlink>
    <w:r>
      <w:rPr>
        <w:rFonts w:eastAsia="Arial" w:cs="Arial"/>
        <w:color w:val="0563C1"/>
        <w:sz w:val="18"/>
        <w:szCs w:val="18"/>
        <w:u w:val="single"/>
        <w:lang w:val="es-ES" w:eastAsia="es-ES"/>
      </w:rPr>
      <w:t>.co</w:t>
    </w:r>
  </w:p>
  <w:p w14:paraId="1CB6E360" w14:textId="77777777" w:rsidR="00DE4070" w:rsidRDefault="00000000">
    <w:pPr>
      <w:tabs>
        <w:tab w:val="center" w:pos="4419"/>
        <w:tab w:val="right" w:pos="8838"/>
      </w:tabs>
      <w:suppressAutoHyphens/>
      <w:spacing w:after="0"/>
      <w:jc w:val="center"/>
      <w:rPr>
        <w:rFonts w:eastAsia="Arial" w:cs="Arial"/>
        <w:color w:val="000000"/>
        <w:sz w:val="18"/>
        <w:szCs w:val="18"/>
        <w:lang w:val="es-ES" w:eastAsia="es-ES"/>
      </w:rPr>
    </w:pPr>
    <w:r>
      <w:rPr>
        <w:rFonts w:eastAsia="Arial" w:cs="Arial"/>
        <w:color w:val="000000"/>
        <w:sz w:val="18"/>
        <w:szCs w:val="18"/>
        <w:lang w:val="es-ES" w:eastAsia="es-ES"/>
      </w:rPr>
      <w:t>Gramalote- Norte de Santander</w:t>
    </w:r>
  </w:p>
  <w:p w14:paraId="2F3D8E1A" w14:textId="77777777" w:rsidR="00DE4070" w:rsidRDefault="00DE407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627A6" w14:textId="77777777" w:rsidR="00102157" w:rsidRDefault="00102157">
      <w:pPr>
        <w:spacing w:after="0"/>
      </w:pPr>
      <w:r>
        <w:separator/>
      </w:r>
    </w:p>
  </w:footnote>
  <w:footnote w:type="continuationSeparator" w:id="0">
    <w:p w14:paraId="5AE79129" w14:textId="77777777" w:rsidR="00102157" w:rsidRDefault="00102157">
      <w:pPr>
        <w:spacing w:after="0"/>
      </w:pPr>
      <w:r>
        <w:continuationSeparator/>
      </w:r>
    </w:p>
  </w:footnote>
  <w:footnote w:id="1">
    <w:p>
      <w:pPr>
        <w:spacing w:after="0" w:line="240" w:lineRule="auto"/>
        <w:jc w:val="both"/>
        <w:rPr>
          <w:rFonts w:ascii="Times New Roman" w:eastAsia="Arial" w:hAnsi="Times New Roman" w:cs="Times New Roman"/>
          <w:sz w:val="18"/>
          <w:szCs w:val="18"/>
          <w:lang w:val="es-CO"/>
        </w:rPr>
      </w:pPr>
      <w:r>
        <w:rPr>
          <w:rFonts w:ascii="Times New Roman" w:eastAsia="Arial" w:hAnsi="Times New Roman" w:cs="Times New Roman"/>
          <w:vertAlign w:val="superscript"/>
          <w:sz w:val="18"/>
          <w:szCs w:val="18"/>
          <w:lang w:val="es-CO"/>
        </w:rPr>
        <w:footnoteRef/>
      </w:r>
      <w:r>
        <w:rPr>
          <w:rFonts w:ascii="Times New Roman" w:eastAsia="Arial" w:hAnsi="Times New Roman" w:cs="Times New Roman"/>
          <w:sz w:val="18"/>
          <w:szCs w:val="18"/>
          <w:lang w:val="es-CO"/>
        </w:rPr>
        <w:t xml:space="preserve"> </w:t>
      </w:r>
      <w:r>
        <w:rPr>
          <w:rFonts w:ascii="Times New Roman" w:eastAsia="Arial" w:hAnsi="Times New Roman" w:cs="Times New Roman"/>
          <w:sz w:val="18"/>
          <w:szCs w:val="18"/>
          <w:lang w:val="es-CO"/>
        </w:rPr>
        <w:t xml:space="preserve">Ley 100 de 1993, artículo 195, numeral 6, y Ley 1150 de 2007, artículo 13. La asociación de las Empresas Sociales del Estado en cooperativas para sus compras está autorizada por el artículo 76 de la Ley 1438 de 2011.</w:t>
      </w:r>
    </w:p>
  </w:footnote>
  <w:footnote w:id="2">
    <w:p>
      <w:pPr>
        <w:spacing w:after="0" w:line="240" w:lineRule="auto"/>
        <w:jc w:val="both"/>
        <w:rPr>
          <w:rFonts w:ascii="Times New Roman" w:eastAsia="Arial" w:hAnsi="Times New Roman" w:cs="Times New Roman"/>
          <w:sz w:val="18"/>
          <w:szCs w:val="18"/>
          <w:lang w:val="es-CO"/>
        </w:rPr>
      </w:pPr>
      <w:r>
        <w:rPr>
          <w:rFonts w:ascii="Times New Roman" w:eastAsia="Arial" w:hAnsi="Times New Roman" w:cs="Times New Roman"/>
          <w:vertAlign w:val="superscript"/>
          <w:sz w:val="18"/>
          <w:szCs w:val="18"/>
          <w:lang w:val="es-CO"/>
        </w:rPr>
        <w:footnoteRef/>
      </w:r>
      <w:r>
        <w:rPr>
          <w:rFonts w:ascii="Times New Roman" w:eastAsia="Arial" w:hAnsi="Times New Roman" w:cs="Times New Roman"/>
          <w:sz w:val="18"/>
          <w:szCs w:val="18"/>
          <w:lang w:val="es-CO"/>
        </w:rPr>
        <w:t xml:space="preserve"> </w:t>
      </w:r>
      <w:r>
        <w:rPr>
          <w:rFonts w:ascii="Times New Roman" w:eastAsia="Arial" w:hAnsi="Times New Roman" w:cs="Times New Roman"/>
          <w:sz w:val="18"/>
          <w:szCs w:val="18"/>
          <w:lang w:val="es-CO"/>
        </w:rPr>
        <w:t xml:space="preserve">Ley 789 de 2002, artículo 50, y Ley 1150 de 2007, artículo 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7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4A0" w:firstRow="1" w:lastRow="0" w:firstColumn="1" w:lastColumn="0" w:noHBand="0" w:noVBand="1"/>
    </w:tblPr>
    <w:tblGrid>
      <w:gridCol w:w="1196"/>
      <w:gridCol w:w="4568"/>
      <w:gridCol w:w="2032"/>
      <w:gridCol w:w="1698"/>
    </w:tblGrid>
    <w:tr w:rsidR="00DE4070" w14:paraId="26545AFC" w14:textId="77777777">
      <w:trPr>
        <w:trHeight w:val="60"/>
        <w:jc w:val="center"/>
      </w:trPr>
      <w:tc>
        <w:tcPr>
          <w:tcW w:w="654" w:type="pct"/>
          <w:vMerge w:val="restart"/>
        </w:tcPr>
        <w:p w14:paraId="15A0E886" w14:textId="77777777" w:rsidR="00DE4070" w:rsidRDefault="00000000">
          <w:pPr>
            <w:tabs>
              <w:tab w:val="center" w:pos="4252"/>
              <w:tab w:val="right" w:pos="8504"/>
            </w:tabs>
            <w:spacing w:after="0"/>
            <w:ind w:hanging="2"/>
            <w:jc w:val="center"/>
            <w:rPr>
              <w:color w:val="000000"/>
              <w:sz w:val="20"/>
              <w:szCs w:val="20"/>
            </w:rPr>
          </w:pPr>
          <w:r>
            <w:rPr>
              <w:noProof/>
              <w:sz w:val="20"/>
              <w:szCs w:val="20"/>
              <w:lang w:eastAsia="es-CO"/>
            </w:rPr>
            <w:drawing>
              <wp:anchor distT="0" distB="0" distL="114300" distR="114300" simplePos="0" relativeHeight="251659264" behindDoc="1" locked="0" layoutInCell="1" allowOverlap="1" wp14:anchorId="32F87063" wp14:editId="7FFC54DC">
                <wp:simplePos x="0" y="0"/>
                <wp:positionH relativeFrom="column">
                  <wp:posOffset>7620</wp:posOffset>
                </wp:positionH>
                <wp:positionV relativeFrom="paragraph">
                  <wp:posOffset>20320</wp:posOffset>
                </wp:positionV>
                <wp:extent cx="695325" cy="533400"/>
                <wp:effectExtent l="0" t="0" r="9525" b="0"/>
                <wp:wrapNone/>
                <wp:docPr id="4" name="Imagen 3"/>
                <wp:cNvGraphicFramePr/>
                <a:graphic xmlns:a="http://schemas.openxmlformats.org/drawingml/2006/main">
                  <a:graphicData uri="http://schemas.openxmlformats.org/drawingml/2006/picture">
                    <pic:pic xmlns:pic="http://schemas.openxmlformats.org/drawingml/2006/picture">
                      <pic:nvPicPr>
                        <pic:cNvPr id="4" name="Imagen 3"/>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95325" cy="533400"/>
                        </a:xfrm>
                        <a:prstGeom prst="rect">
                          <a:avLst/>
                        </a:prstGeom>
                        <a:noFill/>
                        <a:ln>
                          <a:noFill/>
                        </a:ln>
                      </pic:spPr>
                    </pic:pic>
                  </a:graphicData>
                </a:graphic>
              </wp:anchor>
            </w:drawing>
          </w:r>
        </w:p>
      </w:tc>
      <w:tc>
        <w:tcPr>
          <w:tcW w:w="2430" w:type="pct"/>
          <w:vMerge w:val="restart"/>
          <w:vAlign w:val="center"/>
        </w:tcPr>
        <w:p w14:paraId="5905158D" w14:textId="77777777" w:rsidR="00DE4070" w:rsidRDefault="00000000">
          <w:pPr>
            <w:tabs>
              <w:tab w:val="center" w:pos="4252"/>
              <w:tab w:val="right" w:pos="8504"/>
            </w:tabs>
            <w:spacing w:after="0"/>
            <w:ind w:hanging="2"/>
            <w:jc w:val="center"/>
            <w:rPr>
              <w:rFonts w:eastAsia="Arial" w:cs="Arial"/>
              <w:color w:val="000000"/>
              <w:sz w:val="20"/>
              <w:szCs w:val="20"/>
            </w:rPr>
          </w:pPr>
          <w:r>
            <w:rPr>
              <w:rFonts w:eastAsia="Arial" w:cs="Arial"/>
              <w:color w:val="000000"/>
              <w:sz w:val="20"/>
              <w:szCs w:val="20"/>
            </w:rPr>
            <w:t>COMUNICACIÓN EXTERNA</w:t>
          </w:r>
        </w:p>
      </w:tc>
      <w:tc>
        <w:tcPr>
          <w:tcW w:w="1094" w:type="pct"/>
          <w:vAlign w:val="center"/>
        </w:tcPr>
        <w:p w14:paraId="331896E5" w14:textId="77777777" w:rsidR="00DE4070" w:rsidRDefault="00000000">
          <w:pPr>
            <w:tabs>
              <w:tab w:val="center" w:pos="4252"/>
              <w:tab w:val="right" w:pos="8504"/>
            </w:tabs>
            <w:spacing w:after="0"/>
            <w:jc w:val="left"/>
            <w:rPr>
              <w:rFonts w:eastAsia="Calibri" w:cs="Arial"/>
              <w:color w:val="000000"/>
              <w:sz w:val="20"/>
              <w:szCs w:val="20"/>
            </w:rPr>
          </w:pPr>
          <w:r>
            <w:rPr>
              <w:rFonts w:eastAsia="Calibri" w:cs="Arial"/>
              <w:color w:val="000000"/>
              <w:sz w:val="20"/>
              <w:szCs w:val="20"/>
            </w:rPr>
            <w:t>Código: GCA-FO-02</w:t>
          </w:r>
        </w:p>
      </w:tc>
      <w:tc>
        <w:tcPr>
          <w:tcW w:w="822" w:type="pct"/>
          <w:vMerge w:val="restart"/>
        </w:tcPr>
        <w:p w14:paraId="51618C68" w14:textId="77777777" w:rsidR="00DE4070" w:rsidRDefault="00000000">
          <w:pPr>
            <w:tabs>
              <w:tab w:val="center" w:pos="4252"/>
              <w:tab w:val="right" w:pos="8504"/>
            </w:tabs>
            <w:spacing w:after="0"/>
            <w:ind w:hanging="2"/>
            <w:jc w:val="center"/>
            <w:rPr>
              <w:color w:val="000000"/>
              <w:sz w:val="20"/>
              <w:szCs w:val="20"/>
            </w:rPr>
          </w:pPr>
          <w:r>
            <w:rPr>
              <w:noProof/>
              <w:color w:val="000000"/>
              <w:sz w:val="20"/>
              <w:szCs w:val="20"/>
            </w:rPr>
            <w:drawing>
              <wp:inline distT="0" distB="0" distL="0" distR="0" wp14:anchorId="0E508665" wp14:editId="42407794">
                <wp:extent cx="987425" cy="600075"/>
                <wp:effectExtent l="0" t="0" r="3175" b="9525"/>
                <wp:docPr id="408041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41466" name="Imagen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87425" cy="600075"/>
                        </a:xfrm>
                        <a:prstGeom prst="rect">
                          <a:avLst/>
                        </a:prstGeom>
                        <a:noFill/>
                      </pic:spPr>
                    </pic:pic>
                  </a:graphicData>
                </a:graphic>
              </wp:inline>
            </w:drawing>
          </w:r>
        </w:p>
      </w:tc>
    </w:tr>
    <w:tr w:rsidR="00DE4070" w14:paraId="7FE72EE4" w14:textId="77777777">
      <w:tblPrEx>
        <w:tblCellMar>
          <w:left w:w="108" w:type="dxa"/>
          <w:right w:w="108" w:type="dxa"/>
        </w:tblCellMar>
      </w:tblPrEx>
      <w:trPr>
        <w:trHeight w:val="204"/>
        <w:jc w:val="center"/>
      </w:trPr>
      <w:tc>
        <w:tcPr>
          <w:tcW w:w="654" w:type="pct"/>
          <w:vMerge/>
        </w:tcPr>
        <w:p w14:paraId="0D3329ED" w14:textId="77777777" w:rsidR="00DE4070" w:rsidRDefault="00DE4070">
          <w:pPr>
            <w:widowControl w:val="0"/>
            <w:spacing w:after="0" w:line="276" w:lineRule="auto"/>
            <w:ind w:hanging="2"/>
            <w:rPr>
              <w:color w:val="000000"/>
              <w:sz w:val="20"/>
              <w:szCs w:val="20"/>
            </w:rPr>
          </w:pPr>
        </w:p>
      </w:tc>
      <w:tc>
        <w:tcPr>
          <w:tcW w:w="2430" w:type="pct"/>
          <w:vMerge/>
          <w:vAlign w:val="center"/>
        </w:tcPr>
        <w:p w14:paraId="7EDC1B4C" w14:textId="77777777" w:rsidR="00DE4070" w:rsidRDefault="00DE4070">
          <w:pPr>
            <w:widowControl w:val="0"/>
            <w:spacing w:after="0" w:line="276" w:lineRule="auto"/>
            <w:ind w:hanging="2"/>
            <w:rPr>
              <w:rFonts w:cs="Arial"/>
              <w:color w:val="000000"/>
              <w:sz w:val="20"/>
              <w:szCs w:val="20"/>
            </w:rPr>
          </w:pPr>
        </w:p>
      </w:tc>
      <w:tc>
        <w:tcPr>
          <w:tcW w:w="1094" w:type="pct"/>
          <w:vAlign w:val="center"/>
        </w:tcPr>
        <w:p w14:paraId="5D102745" w14:textId="77777777" w:rsidR="00DE4070" w:rsidRDefault="00000000">
          <w:pPr>
            <w:tabs>
              <w:tab w:val="center" w:pos="4252"/>
              <w:tab w:val="right" w:pos="8504"/>
            </w:tabs>
            <w:spacing w:after="0"/>
            <w:ind w:hanging="2"/>
            <w:jc w:val="left"/>
            <w:rPr>
              <w:rFonts w:eastAsia="Calibri" w:cs="Arial"/>
              <w:color w:val="000000"/>
              <w:sz w:val="20"/>
              <w:szCs w:val="20"/>
            </w:rPr>
          </w:pPr>
          <w:r>
            <w:rPr>
              <w:rFonts w:eastAsia="Calibri" w:cs="Arial"/>
              <w:color w:val="000000"/>
              <w:sz w:val="20"/>
              <w:szCs w:val="20"/>
            </w:rPr>
            <w:t>Versión: 2</w:t>
          </w:r>
        </w:p>
      </w:tc>
      <w:tc>
        <w:tcPr>
          <w:tcW w:w="822" w:type="pct"/>
          <w:vMerge/>
        </w:tcPr>
        <w:p w14:paraId="4FBF7B3A" w14:textId="77777777" w:rsidR="00DE4070" w:rsidRDefault="00DE4070">
          <w:pPr>
            <w:widowControl w:val="0"/>
            <w:spacing w:after="0" w:line="276" w:lineRule="auto"/>
            <w:ind w:hanging="2"/>
            <w:rPr>
              <w:rFonts w:ascii="Calibri" w:eastAsia="Calibri" w:hAnsi="Calibri" w:cs="Calibri"/>
              <w:color w:val="000000"/>
              <w:sz w:val="20"/>
              <w:szCs w:val="20"/>
            </w:rPr>
          </w:pPr>
        </w:p>
      </w:tc>
    </w:tr>
    <w:tr w:rsidR="00DE4070" w14:paraId="0AE592AC" w14:textId="77777777">
      <w:tblPrEx>
        <w:tblCellMar>
          <w:left w:w="108" w:type="dxa"/>
          <w:right w:w="108" w:type="dxa"/>
        </w:tblCellMar>
      </w:tblPrEx>
      <w:trPr>
        <w:trHeight w:val="60"/>
        <w:jc w:val="center"/>
      </w:trPr>
      <w:tc>
        <w:tcPr>
          <w:tcW w:w="654" w:type="pct"/>
          <w:vMerge/>
        </w:tcPr>
        <w:p w14:paraId="62FEE453" w14:textId="77777777" w:rsidR="00DE4070" w:rsidRDefault="00DE4070">
          <w:pPr>
            <w:widowControl w:val="0"/>
            <w:spacing w:after="0" w:line="276" w:lineRule="auto"/>
            <w:ind w:hanging="2"/>
            <w:rPr>
              <w:rFonts w:ascii="Calibri" w:eastAsia="Calibri" w:hAnsi="Calibri" w:cs="Calibri"/>
              <w:color w:val="000000"/>
              <w:sz w:val="20"/>
              <w:szCs w:val="20"/>
            </w:rPr>
          </w:pPr>
        </w:p>
      </w:tc>
      <w:tc>
        <w:tcPr>
          <w:tcW w:w="2430" w:type="pct"/>
          <w:vMerge w:val="restart"/>
          <w:vAlign w:val="center"/>
        </w:tcPr>
        <w:p w14:paraId="678A3BF6" w14:textId="77777777" w:rsidR="00DE4070" w:rsidRDefault="00000000">
          <w:pPr>
            <w:tabs>
              <w:tab w:val="center" w:pos="4252"/>
              <w:tab w:val="right" w:pos="8504"/>
            </w:tabs>
            <w:spacing w:after="0"/>
            <w:ind w:hanging="2"/>
            <w:jc w:val="center"/>
            <w:rPr>
              <w:rFonts w:cs="Arial"/>
              <w:color w:val="000000"/>
              <w:sz w:val="20"/>
              <w:szCs w:val="20"/>
            </w:rPr>
          </w:pPr>
          <w:r>
            <w:rPr>
              <w:rFonts w:cs="Arial"/>
              <w:color w:val="000000"/>
              <w:sz w:val="20"/>
              <w:szCs w:val="20"/>
            </w:rPr>
            <w:t>E.S.E HOSPITAL REGIONAL CENTRO</w:t>
          </w:r>
        </w:p>
      </w:tc>
      <w:tc>
        <w:tcPr>
          <w:tcW w:w="1094" w:type="pct"/>
          <w:vAlign w:val="center"/>
        </w:tcPr>
        <w:p w14:paraId="3D2B3737" w14:textId="77777777" w:rsidR="00DE4070" w:rsidRDefault="00000000">
          <w:pPr>
            <w:tabs>
              <w:tab w:val="center" w:pos="4252"/>
              <w:tab w:val="right" w:pos="8504"/>
            </w:tabs>
            <w:spacing w:after="0"/>
            <w:ind w:hanging="2"/>
            <w:jc w:val="left"/>
            <w:rPr>
              <w:rFonts w:eastAsia="Calibri" w:cs="Arial"/>
              <w:color w:val="000000"/>
              <w:sz w:val="20"/>
              <w:szCs w:val="20"/>
            </w:rPr>
          </w:pPr>
          <w:r>
            <w:rPr>
              <w:rFonts w:eastAsia="Calibri" w:cs="Arial"/>
              <w:color w:val="000000"/>
              <w:sz w:val="20"/>
              <w:szCs w:val="20"/>
            </w:rPr>
            <w:t xml:space="preserve">Fecha: </w:t>
          </w:r>
          <w:proofErr w:type="gramStart"/>
          <w:r>
            <w:rPr>
              <w:rFonts w:eastAsia="Calibri" w:cs="Arial"/>
              <w:color w:val="000000"/>
              <w:sz w:val="20"/>
              <w:szCs w:val="20"/>
            </w:rPr>
            <w:t>Agosto</w:t>
          </w:r>
          <w:proofErr w:type="gramEnd"/>
          <w:r>
            <w:rPr>
              <w:rFonts w:eastAsia="Calibri" w:cs="Arial"/>
              <w:color w:val="000000"/>
              <w:sz w:val="20"/>
              <w:szCs w:val="20"/>
            </w:rPr>
            <w:t xml:space="preserve"> 2024</w:t>
          </w:r>
        </w:p>
      </w:tc>
      <w:tc>
        <w:tcPr>
          <w:tcW w:w="822" w:type="pct"/>
          <w:vMerge/>
        </w:tcPr>
        <w:p w14:paraId="3DF21392" w14:textId="77777777" w:rsidR="00DE4070" w:rsidRDefault="00DE4070">
          <w:pPr>
            <w:widowControl w:val="0"/>
            <w:spacing w:after="0" w:line="276" w:lineRule="auto"/>
            <w:ind w:hanging="2"/>
            <w:rPr>
              <w:rFonts w:ascii="Calibri" w:eastAsia="Calibri" w:hAnsi="Calibri" w:cs="Calibri"/>
              <w:color w:val="000000"/>
              <w:sz w:val="20"/>
              <w:szCs w:val="20"/>
            </w:rPr>
          </w:pPr>
        </w:p>
      </w:tc>
    </w:tr>
    <w:tr w:rsidR="00DE4070" w14:paraId="55AB004C" w14:textId="77777777">
      <w:tblPrEx>
        <w:tblCellMar>
          <w:left w:w="108" w:type="dxa"/>
          <w:right w:w="108" w:type="dxa"/>
        </w:tblCellMar>
      </w:tblPrEx>
      <w:trPr>
        <w:trHeight w:val="60"/>
        <w:jc w:val="center"/>
      </w:trPr>
      <w:tc>
        <w:tcPr>
          <w:tcW w:w="654" w:type="pct"/>
          <w:vMerge/>
        </w:tcPr>
        <w:p w14:paraId="243880AA" w14:textId="77777777" w:rsidR="00DE4070" w:rsidRDefault="00DE4070">
          <w:pPr>
            <w:widowControl w:val="0"/>
            <w:spacing w:after="0" w:line="276" w:lineRule="auto"/>
            <w:ind w:hanging="2"/>
            <w:rPr>
              <w:rFonts w:ascii="Calibri" w:eastAsia="Calibri" w:hAnsi="Calibri" w:cs="Calibri"/>
              <w:color w:val="000000"/>
              <w:sz w:val="20"/>
              <w:szCs w:val="20"/>
            </w:rPr>
          </w:pPr>
        </w:p>
      </w:tc>
      <w:tc>
        <w:tcPr>
          <w:tcW w:w="2430" w:type="pct"/>
          <w:vMerge/>
          <w:vAlign w:val="center"/>
        </w:tcPr>
        <w:p w14:paraId="26ACCBBB" w14:textId="77777777" w:rsidR="00DE4070" w:rsidRDefault="00DE4070">
          <w:pPr>
            <w:widowControl w:val="0"/>
            <w:spacing w:after="0" w:line="276" w:lineRule="auto"/>
            <w:ind w:hanging="2"/>
            <w:rPr>
              <w:rFonts w:eastAsia="Calibri" w:cs="Arial"/>
              <w:color w:val="000000"/>
              <w:sz w:val="20"/>
              <w:szCs w:val="20"/>
            </w:rPr>
          </w:pPr>
        </w:p>
      </w:tc>
      <w:tc>
        <w:tcPr>
          <w:tcW w:w="1094" w:type="pct"/>
          <w:vAlign w:val="center"/>
        </w:tcPr>
        <w:p w14:paraId="4E1093D5" w14:textId="77777777" w:rsidR="00DE4070" w:rsidRDefault="00000000">
          <w:pPr>
            <w:tabs>
              <w:tab w:val="center" w:pos="4252"/>
              <w:tab w:val="right" w:pos="8504"/>
            </w:tabs>
            <w:spacing w:after="0"/>
            <w:ind w:hanging="2"/>
            <w:jc w:val="left"/>
            <w:rPr>
              <w:rFonts w:eastAsia="Calibri" w:cs="Arial"/>
              <w:color w:val="000000"/>
              <w:sz w:val="20"/>
              <w:szCs w:val="20"/>
            </w:rPr>
          </w:pPr>
          <w:r>
            <w:rPr>
              <w:rFonts w:eastAsia="Calibri" w:cs="Arial"/>
              <w:color w:val="000000"/>
              <w:sz w:val="20"/>
              <w:szCs w:val="20"/>
            </w:rPr>
            <w:t>Pag.:</w:t>
          </w:r>
          <w:r>
            <w:rPr>
              <w:rFonts w:eastAsia="Calibri" w:cs="Arial"/>
              <w:color w:val="000000"/>
              <w:sz w:val="20"/>
              <w:szCs w:val="20"/>
            </w:rPr>
            <w:fldChar w:fldCharType="begin"/>
          </w:r>
          <w:r>
            <w:rPr>
              <w:rFonts w:eastAsia="Calibri" w:cs="Arial"/>
              <w:color w:val="000000"/>
              <w:sz w:val="20"/>
              <w:szCs w:val="20"/>
            </w:rPr>
            <w:instrText>PAGE   \* MERGEFORMAT</w:instrText>
          </w:r>
          <w:r>
            <w:rPr>
              <w:rFonts w:eastAsia="Calibri" w:cs="Arial"/>
              <w:color w:val="000000"/>
              <w:sz w:val="20"/>
              <w:szCs w:val="20"/>
            </w:rPr>
            <w:fldChar w:fldCharType="separate"/>
          </w:r>
          <w:r>
            <w:rPr>
              <w:rFonts w:eastAsia="Calibri" w:cs="Arial"/>
              <w:color w:val="000000"/>
              <w:sz w:val="20"/>
              <w:szCs w:val="20"/>
            </w:rPr>
            <w:t>1</w:t>
          </w:r>
          <w:r>
            <w:rPr>
              <w:rFonts w:eastAsia="Calibri" w:cs="Arial"/>
              <w:color w:val="000000"/>
              <w:sz w:val="20"/>
              <w:szCs w:val="20"/>
            </w:rPr>
            <w:fldChar w:fldCharType="end"/>
          </w:r>
        </w:p>
      </w:tc>
      <w:tc>
        <w:tcPr>
          <w:tcW w:w="822" w:type="pct"/>
          <w:vMerge/>
        </w:tcPr>
        <w:p w14:paraId="6D04367B" w14:textId="77777777" w:rsidR="00DE4070" w:rsidRDefault="00DE4070">
          <w:pPr>
            <w:widowControl w:val="0"/>
            <w:spacing w:after="0" w:line="276" w:lineRule="auto"/>
            <w:ind w:hanging="2"/>
            <w:rPr>
              <w:rFonts w:ascii="Calibri" w:eastAsia="Calibri" w:hAnsi="Calibri" w:cs="Calibri"/>
              <w:color w:val="000000"/>
              <w:sz w:val="20"/>
              <w:szCs w:val="20"/>
            </w:rPr>
          </w:pPr>
        </w:p>
      </w:tc>
    </w:tr>
  </w:tbl>
  <w:p w14:paraId="1C3747F1" w14:textId="77777777" w:rsidR="00DE4070" w:rsidRDefault="00DE4070">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7C3"/>
    <w:rsid w:val="000563F6"/>
    <w:rsid w:val="00094768"/>
    <w:rsid w:val="00102157"/>
    <w:rsid w:val="00126A1F"/>
    <w:rsid w:val="00147C18"/>
    <w:rsid w:val="0015414C"/>
    <w:rsid w:val="00173B02"/>
    <w:rsid w:val="001E7C52"/>
    <w:rsid w:val="0023289C"/>
    <w:rsid w:val="002355C4"/>
    <w:rsid w:val="00242F16"/>
    <w:rsid w:val="00253C95"/>
    <w:rsid w:val="002B3A7A"/>
    <w:rsid w:val="003079BB"/>
    <w:rsid w:val="00323C18"/>
    <w:rsid w:val="003451F7"/>
    <w:rsid w:val="003915B3"/>
    <w:rsid w:val="003B5C75"/>
    <w:rsid w:val="003F311D"/>
    <w:rsid w:val="00405478"/>
    <w:rsid w:val="004705D9"/>
    <w:rsid w:val="00484C4D"/>
    <w:rsid w:val="004B3B04"/>
    <w:rsid w:val="004B6CD9"/>
    <w:rsid w:val="004D6A9D"/>
    <w:rsid w:val="004E0C35"/>
    <w:rsid w:val="004E19FB"/>
    <w:rsid w:val="005206D4"/>
    <w:rsid w:val="00524590"/>
    <w:rsid w:val="005A45A3"/>
    <w:rsid w:val="005B243F"/>
    <w:rsid w:val="005B6C48"/>
    <w:rsid w:val="005E6D37"/>
    <w:rsid w:val="005F4B01"/>
    <w:rsid w:val="005F79C5"/>
    <w:rsid w:val="00606C0A"/>
    <w:rsid w:val="00624A6C"/>
    <w:rsid w:val="00640A3A"/>
    <w:rsid w:val="0066029F"/>
    <w:rsid w:val="00665D08"/>
    <w:rsid w:val="006719F1"/>
    <w:rsid w:val="00696C3A"/>
    <w:rsid w:val="006B0744"/>
    <w:rsid w:val="006B4C97"/>
    <w:rsid w:val="006B6D79"/>
    <w:rsid w:val="00724999"/>
    <w:rsid w:val="007A1F0F"/>
    <w:rsid w:val="007E0CB5"/>
    <w:rsid w:val="007E371E"/>
    <w:rsid w:val="007E7A56"/>
    <w:rsid w:val="00801B92"/>
    <w:rsid w:val="008B160D"/>
    <w:rsid w:val="008B4C10"/>
    <w:rsid w:val="008C15A3"/>
    <w:rsid w:val="008C6F62"/>
    <w:rsid w:val="008D0AC6"/>
    <w:rsid w:val="008D6EEF"/>
    <w:rsid w:val="008E3B77"/>
    <w:rsid w:val="009332A9"/>
    <w:rsid w:val="0093332B"/>
    <w:rsid w:val="0093587C"/>
    <w:rsid w:val="00965F51"/>
    <w:rsid w:val="009905FE"/>
    <w:rsid w:val="009B45F7"/>
    <w:rsid w:val="009D67C3"/>
    <w:rsid w:val="009F23D5"/>
    <w:rsid w:val="00A018CA"/>
    <w:rsid w:val="00A03FD1"/>
    <w:rsid w:val="00A22772"/>
    <w:rsid w:val="00A52736"/>
    <w:rsid w:val="00A8053B"/>
    <w:rsid w:val="00A86C95"/>
    <w:rsid w:val="00AC02D5"/>
    <w:rsid w:val="00B13B7C"/>
    <w:rsid w:val="00B1420D"/>
    <w:rsid w:val="00B26974"/>
    <w:rsid w:val="00B777DB"/>
    <w:rsid w:val="00B97CA8"/>
    <w:rsid w:val="00BB4C1B"/>
    <w:rsid w:val="00BC1594"/>
    <w:rsid w:val="00BD50D1"/>
    <w:rsid w:val="00BF10B0"/>
    <w:rsid w:val="00C64230"/>
    <w:rsid w:val="00C947D6"/>
    <w:rsid w:val="00C95256"/>
    <w:rsid w:val="00CA3F01"/>
    <w:rsid w:val="00CB786B"/>
    <w:rsid w:val="00CC5003"/>
    <w:rsid w:val="00CC67F9"/>
    <w:rsid w:val="00CD0C5B"/>
    <w:rsid w:val="00CE1A9C"/>
    <w:rsid w:val="00CE37F7"/>
    <w:rsid w:val="00CF66EB"/>
    <w:rsid w:val="00D47E14"/>
    <w:rsid w:val="00D51A48"/>
    <w:rsid w:val="00D52CA1"/>
    <w:rsid w:val="00D92C91"/>
    <w:rsid w:val="00DA588F"/>
    <w:rsid w:val="00DB3A8F"/>
    <w:rsid w:val="00DD5FDD"/>
    <w:rsid w:val="00DE4070"/>
    <w:rsid w:val="00E06441"/>
    <w:rsid w:val="00E332F4"/>
    <w:rsid w:val="00E3577F"/>
    <w:rsid w:val="00E55AD1"/>
    <w:rsid w:val="00E8158D"/>
    <w:rsid w:val="00EC6E60"/>
    <w:rsid w:val="00ED2745"/>
    <w:rsid w:val="00EF6B23"/>
    <w:rsid w:val="00F0434F"/>
    <w:rsid w:val="00F055D9"/>
    <w:rsid w:val="00F1071B"/>
    <w:rsid w:val="00F37E90"/>
    <w:rsid w:val="00F5680A"/>
    <w:rsid w:val="00F816BF"/>
    <w:rsid w:val="00FE02F1"/>
    <w:rsid w:val="00FE208F"/>
    <w:rsid w:val="00FE6103"/>
    <w:rsid w:val="00FE6BD7"/>
    <w:rsid w:val="4D215D21"/>
    <w:rsid w:val="667D3839"/>
    <w:rsid w:val="6B162CBB"/>
    <w:rsid w:val="7890750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F9402"/>
  <w15:docId w15:val="{597F8497-119D-4292-BF40-B9CC1EEA0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jc w:val="both"/>
    </w:pPr>
    <w:rPr>
      <w:rFonts w:ascii="Arial" w:hAnsi="Arial"/>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uiPriority w:val="20"/>
    <w:qFormat/>
    <w:rPr>
      <w:i/>
      <w:iCs/>
    </w:rPr>
  </w:style>
  <w:style w:type="character" w:styleId="Hipervnculo">
    <w:name w:val="Hyperlink"/>
    <w:rPr>
      <w:color w:val="0000FF"/>
      <w:u w:val="single"/>
    </w:rPr>
  </w:style>
  <w:style w:type="paragraph" w:styleId="Textodeglobo">
    <w:name w:val="Balloon Text"/>
    <w:basedOn w:val="Normal"/>
    <w:link w:val="TextodegloboCar"/>
    <w:uiPriority w:val="99"/>
    <w:semiHidden/>
    <w:unhideWhenUsed/>
    <w:qFormat/>
    <w:pPr>
      <w:spacing w:after="0"/>
    </w:pPr>
    <w:rPr>
      <w:rFonts w:ascii="Segoe UI" w:hAnsi="Segoe UI" w:cs="Segoe UI"/>
      <w:sz w:val="18"/>
      <w:szCs w:val="18"/>
    </w:rPr>
  </w:style>
  <w:style w:type="paragraph" w:styleId="Encabezado">
    <w:name w:val="header"/>
    <w:basedOn w:val="Normal"/>
    <w:link w:val="EncabezadoCar"/>
    <w:uiPriority w:val="99"/>
    <w:unhideWhenUsed/>
    <w:qFormat/>
    <w:pPr>
      <w:tabs>
        <w:tab w:val="center" w:pos="4419"/>
        <w:tab w:val="right" w:pos="8838"/>
      </w:tabs>
      <w:spacing w:after="0"/>
    </w:pPr>
  </w:style>
  <w:style w:type="paragraph" w:styleId="Piedepgina">
    <w:name w:val="footer"/>
    <w:basedOn w:val="Normal"/>
    <w:link w:val="PiedepginaCar"/>
    <w:uiPriority w:val="99"/>
    <w:unhideWhenUsed/>
    <w:qFormat/>
    <w:pPr>
      <w:tabs>
        <w:tab w:val="center" w:pos="4419"/>
        <w:tab w:val="right" w:pos="8838"/>
      </w:tabs>
      <w:spacing w:after="0"/>
    </w:p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qFormat/>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paragraph" w:styleId="Prrafodelista">
    <w:name w:val="List Paragraph"/>
    <w:basedOn w:val="Normal"/>
    <w:link w:val="PrrafodelistaCar"/>
    <w:uiPriority w:val="34"/>
    <w:qFormat/>
    <w:pPr>
      <w:ind w:left="720"/>
      <w:contextualSpacing/>
    </w:pPr>
  </w:style>
  <w:style w:type="character" w:customStyle="1" w:styleId="PrrafodelistaCar">
    <w:name w:val="Párrafo de lista Car"/>
    <w:link w:val="Prrafodelista"/>
    <w:uiPriority w:val="34"/>
    <w:qFormat/>
    <w:rPr>
      <w:rFonts w:ascii="Arial" w:hAnsi="Arial"/>
    </w:rPr>
  </w:style>
  <w:style w:type="character" w:customStyle="1" w:styleId="Mencinsinresolver1">
    <w:name w:val="Mención sin resolver1"/>
    <w:basedOn w:val="Fuentedeprrafopredeter"/>
    <w:uiPriority w:val="99"/>
    <w:semiHidden/>
    <w:unhideWhenUsed/>
    <w:rPr>
      <w:color w:val="605E5C"/>
      <w:shd w:val="clear" w:color="auto" w:fill="E1DFDD"/>
    </w:rPr>
  </w:style>
  <w:style w:type="paragraph" w:styleId="Sinespaciado">
    <w:name w:val="No Spacing"/>
    <w:uiPriority w:val="1"/>
    <w:qFormat/>
    <w:rPr>
      <w:sz w:val="22"/>
      <w:szCs w:val="22"/>
      <w:lang w:eastAsia="en-US"/>
    </w:rPr>
  </w:style>
  <w:style w:type="character" w:styleId="Mencinsinresolver">
    <w:name w:val="Unresolved Mention"/>
    <w:basedOn w:val="Fuentedeprrafopredeter"/>
    <w:uiPriority w:val="99"/>
    <w:semiHidden/>
    <w:unhideWhenUsed/>
    <w:rsid w:val="00173B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esecentro.com" TargetMode="External"/><Relationship Id="rId1" Type="http://schemas.openxmlformats.org/officeDocument/2006/relationships/hyperlink" Target="mailto:secretariageneral@centroese.gov.c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250</Words>
  <Characters>1381</Characters>
  <Application>Microsoft Office Word</Application>
  <DocSecurity>0</DocSecurity>
  <Lines>11</Lines>
  <Paragraphs>3</Paragraphs>
  <ScaleCrop>false</ScaleCrop>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Cindy Patiño Flórez</dc:creator>
  <cp:lastModifiedBy>Natalia Angarita</cp:lastModifiedBy>
  <cp:revision>2</cp:revision>
  <cp:lastPrinted>2021-03-08T19:29:00Z</cp:lastPrinted>
  <dcterms:created xsi:type="dcterms:W3CDTF">2026-10-06T22:41:00Z</dcterms:created>
  <dcterms:modified xsi:type="dcterms:W3CDTF">2026-10-06T22:41:00Z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2058-12.2.0.21931</vt:lpwstr>
  </property>
  <property fmtid="{D5CDD505-2E9C-101B-9397-08002B2CF9AE}" pid="3" name="ICV">
    <vt:lpwstr>81F5C677738245DEBB240246E264F419_12</vt:lpwstr>
  </property>
</Properties>
</file>