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Gramalote, 7 de octubre de 2026</w:t>
      </w: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Señores</w:t>
      </w: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val="es-CO"/>
        </w:rPr>
        <w:t xml:space="preserve">CONTRALORÍA GENERAL DEL DEPARTAMENTO NORTE DE SANTANDER</w:t>
      </w: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Atención: doctora Gloria Esperanza Vera Castillo, Profesional Universitario, Auditora designada</w:t>
      </w: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San José de Cúcuta</w:t>
      </w: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val="es-CO"/>
        </w:rPr>
        <w:t xml:space="preserve">Asunto: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 Respuesta al requerimiento del 1 de octubre de 2026 y remisión de soportes del Contrato de Suministro N° 983 de 2025.</w:t>
      </w: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val="es-CO"/>
        </w:rPr>
        <w:t xml:space="preserve">Referencia: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 Auditoría Financiera de Gestión y Resultados Abreviada, vigencia 2025. Radicado N° 20262010017741 del 18 de agosto de 2026.</w:t>
      </w: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Cordial saludo.</w:t>
      </w: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En atención al requerimiento del 1 de octubre de 2026 y a su alcance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fecha y radicado del oficio de alcance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, y dentro del término solicitado el 2 de octubre de 2026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citar radicado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, la E.S.E. Hospital Regional Centro responde las observaciones sobre el Contrato de Suministro N° 983 de 2025 y remite los soportes que las acreditan. Esta comunicación complementa la respuesta del 29 de septiembre de 2026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citar radicado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. Las respuestas de los contratos 1058 y 1056 de 2025 se radican por separado .</w:t>
      </w:r>
    </w:p>
    <w:p>
      <w:pPr>
        <w:keepNext/>
        <w:spacing w:before="120" w:after="12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1. Antecedentes</w:t>
      </w: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El contrato tuvo por objeto la dotación informática de los Equipos Básicos en Salud de Gramalote, Salazar, Arboledas, Lourdes y Villa Caro, con recursos de la Resolución 877 de 2025. Se celebró con la señora Chiquinquirá Contreras Rodríguez, C.C. 60.371.860, propietaria de System Salud, por $46.321.300 IVA incluido, mediante invitación privada de mínima cuantía N° 017 de 2025, con CDP N° 1329 del 3 de octubre de 2025 y RP N°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número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 del 7 de octubre de 2025. Acta de inicio del 9 de octubre de 2025, plazo de un mes; factura FE-2920 del 17 de octubre; ingreso a almacén FCAF-53 del 20 de octubre; acta de recibo final del 31 de octubre de 2025; pago único y liquidación. La E.S.E. contrata bajo el derecho privado y su Manual de Contratación (Resolución 002 de 2023 y sus modificaciones), con sujeción a los principios de la función administrativa y de la gestión fiscal.</w:t>
      </w:r>
    </w:p>
    <w:p>
      <w:pPr>
        <w:keepNext/>
        <w:spacing w:before="120" w:after="12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2. Respuesta a las observaciones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a)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Modalidad y soportes del proceso. El contrato se adelantó por mínima cuantía mediante la invitación privada N° 017 de 2025; se recibió y evaluó una sola propuesta. La casilla "SIN OFERTAS" del formato de rendición es un error de diligenciamiento, pues en este proceso sí se cursó invitación y se recibió una oferta; esa casilla corresponde a los contratos celebrados sin convocatoria. Se solicita al equipo auditor indicar el procedimiento para corregir el formato, si a ello hubiere lugar, el cual la entidad atenderá de inmediato. Se anexan invitación, propuesta, acta de cierre, informe de evaluación y constancia de traslado.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b)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Estudio previo. La mención a la contratación directa y el valor de $46.504.850 son residuos de plantilla. La modalidad fue mínima cuantía y el valor contratado, $46.321.300, es el de la única propuesta, inferior al presupuesto estimado y respaldado por el CDP 1329.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Invitación anterior al CDP. La invitación no comprometió recursos; el compromiso nació con el contrato, ya expedidos el CDP (3 de octubre) y el RP (7 de octubre de 2025). La entidad acoge como acción de mejora expedir el CDP antes de abrir la invitación.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d)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Cierre y evaluación sin fecha. Cierre el 1 de octubre de 2025; evaluación y comunicación a la proponente el 2 de octubre; traslado sin observaciones el 3 de octubre. Se anexa la constancia de recibo, traslado y manifestación sobre el informe de evaluación, suscrita por la proponente y por el Líder de Contratación.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La constancia está fechada el 3 de octubre de 2025 pero el archivo PDF se generó el 5 de octubre de 2026. Si fue elaborada ahora, debe llevar la fecha actual y presentarse como certificación de hechos ocurridos el 2 y 3 de octubre de 2025; un documento con fecha anterior a su elaboración expone a la Gerente y a los firmantes a un riesgo penal y disciplinario mayor que la observación que subsana.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 Los formatos se ajustarán para consignar fecha en cada etapa.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e)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Plazo y rubro del formato de rendición. El plazo fue de un mes desde el acta de inicio (9 de octubre a 8 de noviembre de 2025). Las fechas y el rubro del formato son errores de diligenciamiento ya reconocidos el 29 de septiembre; los rubros reales son 2.1.2.01.01.003.03.11 a 2.1.2.01.01.003.03.20. Se solicita indicar el mecanismo de corrección.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f)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Supervisión. La ejerció una sola funcionaria, la doctora Yolima Beltrán Santander, Subdirectora Científica, designada el 7 de octubre de 2025. El cargo distinto que registran el contrato y el formato es un error de plantilla. Se anexa la designación.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g)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Nombre de la contratista. El segundo apellido correcto es Rodríguez, como consta en la póliza, el RP, el egreso y el formato de rendición. La cédula coincide en todos los documentos.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h)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CDP citado en el contrato. "1239" es una transposición de "1329", único CDP del contrato.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i)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Informe de actividades y certificación posteriores al egreso. El pago (egreso N°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número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 del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fecha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) se soportó en la factura, el ingreso a almacén y el acta de recibo final del 31 de octubre de 2025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confirmar que el acta es anterior al egreso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. El informe de actividades y el formato de supervisión se incorporaron después; la entidad los exigirá como requisito previo de pago. Se anexa la relación de equipos con marca, modelo, serial y sede de destino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y registro fotográfico, si existe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j)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Formato de supervisión. El correo registrado no era el de la contratista y fue corregido con el formato complementario del 5 de octubre de 2026. Se usó la plantilla de prestación de servicios; la entidad adoptará un formato propio para suministros.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La solicitud del 2 de octubre y la constancia del 5 de octubre de 2026 dicen "señor Chinquinquira" y "Contrato de Prestación de Servicios": corregirlas antes de anexarlas, porque repiten el error que aquí se explica.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k)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Estampillas. Solo se descontó la Estampilla Pro-Hospital Erasmo Meoz ($879.800). La entidad reconoció el 5 de octubre de 2026 que la liquidación fue incompleta y precisa que, por haberse suscrito el contrato el 7 de octubre de 2025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y pagado el (fecha del egreso)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, los gravámenes aplicables son los del estatuto de rentas vigente en la fecha del hecho generador, que puede ser anterior a la Ordenanza 018 del 20 de octubre de 2025 citada en esa comunicación. Por ello solicitó concepto a la Secretaría de Hacienda departamental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fecha y radicado; una sola consulta para los contratos 983 y 1058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 sobre los gravámenes aplicables (Pro-Cultura, Pro-Adulto Mayor, Pro-UFPS y Tasa Prodeporte) y liquidará y trasladará los valores que resulten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indicar quién asume los valores y el plazo</w:t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l)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Garantía. Se anexa la póliza N° 460-47-994000091804 de Aseguradora Solidaria, del 9 de octubre de 2025, con amparos de cumplimiento y calidad del bien por $4.632.130 cada uno y vigencia del 7 de octubre de 2025 al 7 de mayo de 2026, junto con el acta de aprobación del 9 de octubre de 2025, en la que el número de la póliza y la denominación del amparo de calidad presentan errores de transcripción que no afectan la identificación de la garantía. La póliza de responsabilidad civil extracontractual fue remitida con anterioridad.</w:t>
      </w:r>
    </w:p>
    <w:p>
      <w:pPr>
        <w:keepNext/>
        <w:spacing w:before="120" w:after="12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3. Anexos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1.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Estudio previo.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2.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Invitación privada N° 017 de 2025, propuesta, acta de cierre e informe de evaluación.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3.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Constancia de recibo, traslado y manifestación sobre el informe de evaluación.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4.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Respuesta técnica, jurídica y subsanación definitiva suscrita por la Gerente y la supervisora. </w:t>
      </w: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Antes de anexarla, ajustar cuatro menciones que contradicen este oficio: cita el artículo 34 del Manual y el artículo 24 de la Ley 80 de 1993, inaplicable a la E.S.E.; habla de pluralidad de oferentes cuando hubo una sola propuesta; y fecha la suscripción del contrato el 9 de octubre de 2025, cuando la póliza, el formato de supervisión y el RP indican el 7 de octubre. Si no se ajusta, es preferible no anexarla: este oficio es la respuesta.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5.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CDP N° 1329 y RP del 7 de octubre de 2025.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6.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Designación de la supervisora del 7 de octubre de 2025.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7.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Póliza N° 460-47-994000091804 de Aseguradora Solidaria de Colombia y acta de aprobación de pólizas del 9 de octubre de 2025.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8.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Factura FE-2920, comprobante FCAF-53, acta de recibo final y comprobante de egreso.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9.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Relación de equipos con seriales y sede de destino.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10.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Solicitud de subsanación del 2 de octubre de 2026, constancia del 5 de octubre de 2026 y formato de supervisión complementario.</w:t>
      </w:r>
    </w:p>
    <w:p>
      <w:pPr>
        <w:tabs>
          <w:tab w:val="left" w:pos="709"/>
        </w:tabs>
        <w:spacing w:before="0" w:after="120" w:line="276" w:lineRule="auto"/>
        <w:ind w:left="709" w:hanging="709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11.</w:t>
        <w:tab/>
      </w: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Comunicación de la Gerente del 5 de octubre de 2026 sobre el comprobante de egreso CE-10343 del Contrato N° 1058 de 2025 y, en su parte final, sobre los descuentos de estampillas del Contrato N° 983 de 2025.</w:t>
      </w: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highlight w:val="yellow"/>
          <w:sz w:val="24"/>
          <w:szCs w:val="24"/>
          <w:lang w:val="es-CO"/>
        </w:rPr>
        <w:t xml:space="preserve">Nota de trabajo, retirar antes de radicar: ya están en la carpeta los anexos 3, 4, 7, 10 y 11; faltan los anexos 1, 2, 5, 6, 8 y 9. Verificar que existan y se anexen.</w:t>
      </w:r>
    </w:p>
    <w:p>
      <w:pPr>
        <w:keepNext/>
        <w:spacing w:before="120" w:after="12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4. Consideración final</w:t>
      </w: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Las observaciones recaen sobre aspectos formales de los documentos del expediente y no sobre el resultado de la gestión fiscal: la entidad adquirió la dotación informática que necesitaba, por un valor inferior al presupuesto estimado, con respaldo presupuestal previo al compromiso; los bienes ingresaron al almacén, fueron recibidos y están al servicio de los Equipos Básicos en Salud, y se pagó exactamente el valor pactado. Con fundamento en lo anterior, la entidad considera que las situaciones advertidas no comportan detrimento al patrimonio público en los términos del artículo 6 de la Ley 610 de 2000, modificado por el artículo 126 del Decreto Ley 403 de 2020, y tienen carácter administrativo. La ordenadora del gasto actuó con base en las certificaciones de la supervisión, del almacén y del área de presupuesto, y las imprecisiones advertidas fueron aclaradas o corregidas por la entidad durante el proceso auditor, en atención a las observaciones del equipo auditor y antes del informe preliminar, lo que solicita se valore como beneficio del control fiscal. Los asuntos que dependen de terceros, la corrección del formato de rendición y la liquidación de los descuentos departamentales, están en trámite en los términos indicados.</w:t>
      </w:r>
    </w:p>
    <w:p>
      <w:pPr>
        <w:keepNext/>
        <w:spacing w:before="120" w:after="12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5. Solicitud</w:t>
      </w: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Con fundamento en lo expuesto y en los documentos que se anexan, la E.S.E. Hospital Regional Centro solicita respetuosamente al equipo auditor tener por atendidas las observaciones sobre el Contrato N° 983 de 2025 o, en su defecto, calificarlas como de carácter administrativo para su inclusión en el plan de mejoramiento. La corrección del formato de rendición y la liquidación de los descuentos departamentales se adelantarán conforme a las indicaciones del equipo auditor y al concepto de la Secretaría de Hacienda. La entidad reitera su disposición de aportar la información o aclaración adicional que el equipo auditor considere necesaria y de atender las verificaciones que estime pertinentes.</w:t>
      </w:r>
    </w:p>
    <w:p>
      <w:pPr>
        <w:spacing w:before="0" w:after="20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Atentamente,</w:t>
      </w: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val="es-CO"/>
        </w:rPr>
        <w:t xml:space="preserve">CLAUDIA BELÉN JULIO SEPÚLVEDA</w:t>
      </w: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Gerente, E.S.E. Hospital Regional Centro</w:t>
      </w:r>
    </w:p>
    <w:p>
      <w:pPr>
        <w:spacing w:before="0" w:after="0"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O"/>
        </w:rPr>
      </w:pPr>
    </w:p>
    <w:p>
      <w:pPr>
        <w:spacing w:before="0" w:after="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s-CO"/>
        </w:rPr>
      </w:pPr>
      <w:r>
        <w:rPr>
          <w:rFonts w:ascii="Times New Roman" w:eastAsia="Arial" w:hAnsi="Times New Roman" w:cs="Times New Roman"/>
          <w:sz w:val="24"/>
          <w:szCs w:val="24"/>
          <w:lang w:val="es-CO"/>
        </w:rPr>
        <w:t xml:space="preserve">Anexos: los relacionados en el numeral 3.</w:t>
      </w:r>
    </w:p>
    <w:p>
      <w:pPr>
        <w:spacing w:after="0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36"/>
        <w:gridCol w:w="4854"/>
        <w:gridCol w:w="2938"/>
      </w:tblGrid>
      <w:tr w:rsidR="00DE4070" w14:paraId="5E403577" w14:textId="77777777" w:rsidTr="00E95D9C">
        <w:trPr>
          <w:trHeight w:val="283"/>
        </w:trPr>
        <w:tc>
          <w:tcPr>
            <w:tcW w:w="587" w:type="pct"/>
            <w:vAlign w:val="center"/>
          </w:tcPr>
          <w:p w14:paraId="23D369F5" w14:textId="77777777" w:rsidR="00DE4070" w:rsidRPr="00E95D9C" w:rsidRDefault="00000000">
            <w:pPr>
              <w:spacing w:after="0"/>
              <w:jc w:val="center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kern w:val="2"/>
              </w:rPr>
              <w:t>Revisó:</w:t>
            </w:r>
          </w:p>
        </w:tc>
        <w:tc>
          <w:tcPr>
            <w:tcW w:w="2749" w:type="pct"/>
            <w:vAlign w:val="center"/>
          </w:tcPr>
          <w:p w14:paraId="009494F4" w14:textId="2B2809BA" w:rsidR="00DE4070" w:rsidRPr="00E95D9C" w:rsidRDefault="00E95D9C">
            <w:pPr>
              <w:spacing w:after="0"/>
              <w:jc w:val="left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kern w:val="2"/>
              </w:rPr>
              <w:t>Natalia Angarita, Ramos Mejía &amp; Abogados S.A.S</w:t>
            </w:r>
          </w:p>
        </w:tc>
        <w:tc>
          <w:tcPr>
            <w:tcW w:w="1664" w:type="pct"/>
            <w:vAlign w:val="center"/>
          </w:tcPr>
          <w:p w14:paraId="5F2309EA" w14:textId="6F9551BE" w:rsidR="00DE4070" w:rsidRPr="00E95D9C" w:rsidRDefault="00E95D9C">
            <w:pPr>
              <w:spacing w:after="0"/>
              <w:jc w:val="left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noProof/>
                <w:kern w:val="2"/>
              </w:rPr>
              <w:drawing>
                <wp:anchor distT="0" distB="0" distL="114300" distR="114300" simplePos="0" relativeHeight="251658240" behindDoc="1" locked="0" layoutInCell="1" allowOverlap="1" wp14:anchorId="5B23B1C0" wp14:editId="2F23079C">
                  <wp:simplePos x="0" y="0"/>
                  <wp:positionH relativeFrom="column">
                    <wp:posOffset>756920</wp:posOffset>
                  </wp:positionH>
                  <wp:positionV relativeFrom="paragraph">
                    <wp:posOffset>-123825</wp:posOffset>
                  </wp:positionV>
                  <wp:extent cx="190500" cy="508000"/>
                  <wp:effectExtent l="0" t="0" r="0" b="6350"/>
                  <wp:wrapNone/>
                  <wp:docPr id="11727449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744955" name="Imagen 117274495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05" t="25992" r="43539" b="11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5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kern w:val="2"/>
              </w:rPr>
              <w:t>Firma:</w:t>
            </w:r>
          </w:p>
        </w:tc>
      </w:tr>
    </w:tbl>
    <w:p>
      <w:pPr>
        <w:spacing w:after="0"/>
      </w:pPr>
    </w:p>
    <w:sectPr w:rsidR="00DE407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CDB8" w14:textId="77777777" w:rsidR="004C0378" w:rsidRDefault="004C0378">
      <w:r>
        <w:separator/>
      </w:r>
    </w:p>
  </w:endnote>
  <w:endnote w:type="continuationSeparator" w:id="0">
    <w:p w14:paraId="10802AD9" w14:textId="77777777" w:rsidR="004C0378" w:rsidRDefault="004C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9BDC" w14:textId="77777777" w:rsidR="00DE4070" w:rsidRDefault="00000000">
    <w:pPr>
      <w:suppressAutoHyphens/>
      <w:spacing w:after="0"/>
      <w:ind w:right="360"/>
      <w:jc w:val="center"/>
      <w:rPr>
        <w:rFonts w:eastAsia="Times New Roman" w:cs="Times New Roman"/>
        <w:b/>
        <w:i/>
        <w:iCs/>
        <w:color w:val="000000"/>
        <w:sz w:val="20"/>
        <w:szCs w:val="20"/>
        <w:lang w:val="es-ES" w:eastAsia="es-ES"/>
      </w:rPr>
    </w:pPr>
    <w:r>
      <w:rPr>
        <w:rFonts w:eastAsia="Times New Roman" w:cs="Times New Roman"/>
        <w:b/>
        <w:i/>
        <w:iCs/>
        <w:color w:val="000000"/>
        <w:sz w:val="20"/>
        <w:szCs w:val="20"/>
        <w:lang w:val="es-ES" w:eastAsia="es-ES"/>
      </w:rPr>
      <w:t xml:space="preserve">"Unidos por una atención </w:t>
    </w:r>
    <w:proofErr w:type="gramStart"/>
    <w:r>
      <w:rPr>
        <w:rFonts w:eastAsia="Times New Roman" w:cs="Times New Roman"/>
        <w:b/>
        <w:i/>
        <w:iCs/>
        <w:color w:val="000000"/>
        <w:sz w:val="20"/>
        <w:szCs w:val="20"/>
        <w:lang w:val="es-ES" w:eastAsia="es-ES"/>
      </w:rPr>
      <w:t>más segura y más humana</w:t>
    </w:r>
    <w:proofErr w:type="gramEnd"/>
    <w:r>
      <w:rPr>
        <w:rFonts w:eastAsia="Times New Roman" w:cs="Times New Roman"/>
        <w:b/>
        <w:i/>
        <w:iCs/>
        <w:color w:val="000000"/>
        <w:sz w:val="20"/>
        <w:szCs w:val="20"/>
        <w:lang w:val="es-ES" w:eastAsia="es-ES"/>
      </w:rPr>
      <w:t>"</w:t>
    </w:r>
  </w:p>
  <w:p w14:paraId="62C8233B" w14:textId="77777777" w:rsidR="00DE4070" w:rsidRDefault="00000000">
    <w:pPr>
      <w:suppressAutoHyphens/>
      <w:spacing w:after="0"/>
      <w:ind w:right="360"/>
      <w:jc w:val="center"/>
      <w:rPr>
        <w:rFonts w:eastAsia="Times New Roman" w:cs="Times New Roman"/>
        <w:color w:val="000000"/>
        <w:sz w:val="18"/>
        <w:szCs w:val="18"/>
        <w:lang w:val="es-ES" w:eastAsia="es-ES"/>
      </w:rPr>
    </w:pPr>
    <w:r>
      <w:rPr>
        <w:rFonts w:eastAsia="Times New Roman" w:cs="Times New Roman"/>
        <w:color w:val="000000"/>
        <w:sz w:val="18"/>
        <w:szCs w:val="18"/>
        <w:lang w:val="es-ES" w:eastAsia="es-ES"/>
      </w:rPr>
      <w:t>KDX VDA, BARRIO MIRAFLOREZ, Cel.3118111189</w:t>
    </w:r>
  </w:p>
  <w:p w14:paraId="32FC863F" w14:textId="07455C00" w:rsidR="00DE4070" w:rsidRDefault="00173B02">
    <w:pPr>
      <w:tabs>
        <w:tab w:val="center" w:pos="4419"/>
        <w:tab w:val="right" w:pos="8838"/>
      </w:tabs>
      <w:suppressAutoHyphens/>
      <w:spacing w:after="0"/>
      <w:jc w:val="center"/>
      <w:rPr>
        <w:rFonts w:eastAsia="Arial" w:cs="Arial"/>
        <w:color w:val="000000"/>
        <w:sz w:val="18"/>
        <w:szCs w:val="18"/>
        <w:lang w:val="es-ES" w:eastAsia="es-ES"/>
      </w:rPr>
    </w:pPr>
    <w:hyperlink r:id="rId1" w:history="1">
      <w:r w:rsidRPr="009B58E2">
        <w:rPr>
          <w:rStyle w:val="Hipervnculo"/>
          <w:rFonts w:eastAsia="Arial" w:cs="Arial"/>
          <w:sz w:val="18"/>
          <w:szCs w:val="18"/>
          <w:lang w:val="es-ES" w:eastAsia="es-ES"/>
        </w:rPr>
        <w:t>secretariageneral@centroese.gov.co</w:t>
      </w:r>
    </w:hyperlink>
    <w:r>
      <w:rPr>
        <w:rFonts w:eastAsia="Arial" w:cs="Arial"/>
        <w:color w:val="000000"/>
        <w:sz w:val="18"/>
        <w:szCs w:val="18"/>
        <w:lang w:val="es-ES" w:eastAsia="es-ES"/>
      </w:rPr>
      <w:t xml:space="preserve"> – </w:t>
    </w:r>
    <w:hyperlink r:id="rId2" w:history="1">
      <w:r>
        <w:rPr>
          <w:rFonts w:eastAsia="Arial" w:cs="Arial"/>
          <w:color w:val="0563C1"/>
          <w:sz w:val="18"/>
          <w:szCs w:val="18"/>
          <w:u w:val="single"/>
          <w:lang w:val="es-ES" w:eastAsia="es-ES"/>
        </w:rPr>
        <w:t>www.esecentro.com</w:t>
      </w:r>
    </w:hyperlink>
    <w:r>
      <w:rPr>
        <w:rFonts w:eastAsia="Arial" w:cs="Arial"/>
        <w:color w:val="0563C1"/>
        <w:sz w:val="18"/>
        <w:szCs w:val="18"/>
        <w:u w:val="single"/>
        <w:lang w:val="es-ES" w:eastAsia="es-ES"/>
      </w:rPr>
      <w:t>.co</w:t>
    </w:r>
  </w:p>
  <w:p w14:paraId="1CB6E360" w14:textId="77777777" w:rsidR="00DE4070" w:rsidRDefault="00000000">
    <w:pPr>
      <w:tabs>
        <w:tab w:val="center" w:pos="4419"/>
        <w:tab w:val="right" w:pos="8838"/>
      </w:tabs>
      <w:suppressAutoHyphens/>
      <w:spacing w:after="0"/>
      <w:jc w:val="center"/>
      <w:rPr>
        <w:rFonts w:eastAsia="Arial" w:cs="Arial"/>
        <w:color w:val="000000"/>
        <w:sz w:val="18"/>
        <w:szCs w:val="18"/>
        <w:lang w:val="es-ES" w:eastAsia="es-ES"/>
      </w:rPr>
    </w:pPr>
    <w:r>
      <w:rPr>
        <w:rFonts w:eastAsia="Arial" w:cs="Arial"/>
        <w:color w:val="000000"/>
        <w:sz w:val="18"/>
        <w:szCs w:val="18"/>
        <w:lang w:val="es-ES" w:eastAsia="es-ES"/>
      </w:rPr>
      <w:t>Gramalote- Norte de Santander</w:t>
    </w:r>
  </w:p>
  <w:p w14:paraId="2F3D8E1A" w14:textId="77777777" w:rsidR="00DE4070" w:rsidRDefault="00DE40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D2B0A" w14:textId="77777777" w:rsidR="004C0378" w:rsidRDefault="004C0378">
      <w:pPr>
        <w:spacing w:after="0"/>
      </w:pPr>
      <w:r>
        <w:separator/>
      </w:r>
    </w:p>
  </w:footnote>
  <w:footnote w:type="continuationSeparator" w:id="0">
    <w:p w14:paraId="20080032" w14:textId="77777777" w:rsidR="004C0378" w:rsidRDefault="004C0378">
      <w:pPr>
        <w:spacing w:after="0"/>
      </w:pPr>
      <w:r>
        <w:continuationSeparator/>
      </w:r>
    </w:p>
  </w:footnote>
  <w:footnote w:id="1">
    <w:p>
      <w:pPr>
        <w:spacing w:after="0" w:line="240" w:lineRule="auto"/>
        <w:jc w:val="both"/>
        <w:rPr>
          <w:rFonts w:ascii="Times New Roman" w:eastAsia="Arial" w:hAnsi="Times New Roman" w:cs="Times New Roman"/>
          <w:sz w:val="18"/>
          <w:szCs w:val="18"/>
          <w:lang w:val="es-CO"/>
        </w:rPr>
      </w:pPr>
      <w:r>
        <w:rPr>
          <w:rFonts w:ascii="Times New Roman" w:eastAsia="Arial" w:hAnsi="Times New Roman" w:cs="Times New Roman"/>
          <w:vertAlign w:val="superscript"/>
          <w:sz w:val="18"/>
          <w:szCs w:val="18"/>
          <w:lang w:val="es-CO"/>
        </w:rPr>
        <w:footnoteRef/>
      </w:r>
      <w:r>
        <w:rPr>
          <w:rFonts w:ascii="Times New Roman" w:eastAsia="Arial" w:hAnsi="Times New Roman" w:cs="Times New Roman"/>
          <w:sz w:val="18"/>
          <w:szCs w:val="18"/>
          <w:lang w:val="es-CO"/>
        </w:rPr>
        <w:t xml:space="preserve"> </w:t>
      </w:r>
      <w:r>
        <w:rPr>
          <w:rFonts w:ascii="Times New Roman" w:eastAsia="Arial" w:hAnsi="Times New Roman" w:cs="Times New Roman"/>
          <w:sz w:val="18"/>
          <w:szCs w:val="18"/>
          <w:lang w:val="es-CO"/>
        </w:rPr>
        <w:t xml:space="preserve">Ley 100 de 1993, artículo 195, numeral 6, y Ley 1150 de 2007, artículo 13.</w:t>
      </w:r>
    </w:p>
  </w:footnote>
  <w:footnote w:id="2">
    <w:p>
      <w:pPr>
        <w:spacing w:after="0" w:line="240" w:lineRule="auto"/>
        <w:jc w:val="both"/>
        <w:rPr>
          <w:rFonts w:ascii="Times New Roman" w:eastAsia="Arial" w:hAnsi="Times New Roman" w:cs="Times New Roman"/>
          <w:sz w:val="18"/>
          <w:szCs w:val="18"/>
          <w:lang w:val="es-CO"/>
        </w:rPr>
      </w:pPr>
      <w:r>
        <w:rPr>
          <w:rFonts w:ascii="Times New Roman" w:eastAsia="Arial" w:hAnsi="Times New Roman" w:cs="Times New Roman"/>
          <w:vertAlign w:val="superscript"/>
          <w:sz w:val="18"/>
          <w:szCs w:val="18"/>
          <w:lang w:val="es-CO"/>
        </w:rPr>
        <w:footnoteRef/>
      </w:r>
      <w:r>
        <w:rPr>
          <w:rFonts w:ascii="Times New Roman" w:eastAsia="Arial" w:hAnsi="Times New Roman" w:cs="Times New Roman"/>
          <w:sz w:val="18"/>
          <w:szCs w:val="18"/>
          <w:lang w:val="es-CO"/>
        </w:rPr>
        <w:t xml:space="preserve"> </w:t>
      </w:r>
      <w:r>
        <w:rPr>
          <w:rFonts w:ascii="Times New Roman" w:eastAsia="Arial" w:hAnsi="Times New Roman" w:cs="Times New Roman"/>
          <w:sz w:val="18"/>
          <w:szCs w:val="18"/>
          <w:lang w:val="es-CO"/>
        </w:rPr>
        <w:t xml:space="preserve">Estatutos de la E.S.E., Acuerdo 006 de 2014 de la Junta Directiva, artículo 68, que remite en materia presupuestal a los Decretos 111 y 115 de 1996, cuyos artículos 71 y 21 exigen certificado de disponibilidad previo para los actos que afecten las apropiaciones y registro presupuestal para los compromisos.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77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196"/>
      <w:gridCol w:w="4568"/>
      <w:gridCol w:w="2032"/>
      <w:gridCol w:w="1698"/>
    </w:tblGrid>
    <w:tr w:rsidR="00DE4070" w14:paraId="26545AFC" w14:textId="77777777">
      <w:trPr>
        <w:trHeight w:val="60"/>
        <w:jc w:val="center"/>
      </w:trPr>
      <w:tc>
        <w:tcPr>
          <w:tcW w:w="654" w:type="pct"/>
          <w:vMerge w:val="restart"/>
        </w:tcPr>
        <w:p w14:paraId="15A0E886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sz w:val="20"/>
              <w:szCs w:val="20"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32F87063" wp14:editId="7FFC54DC">
                <wp:simplePos x="0" y="0"/>
                <wp:positionH relativeFrom="column">
                  <wp:posOffset>7620</wp:posOffset>
                </wp:positionH>
                <wp:positionV relativeFrom="paragraph">
                  <wp:posOffset>20320</wp:posOffset>
                </wp:positionV>
                <wp:extent cx="695325" cy="533400"/>
                <wp:effectExtent l="0" t="0" r="9525" b="0"/>
                <wp:wrapNone/>
                <wp:docPr id="4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30" w:type="pct"/>
          <w:vMerge w:val="restart"/>
          <w:vAlign w:val="center"/>
        </w:tcPr>
        <w:p w14:paraId="5905158D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center"/>
            <w:rPr>
              <w:rFonts w:eastAsia="Arial" w:cs="Arial"/>
              <w:color w:val="000000"/>
              <w:sz w:val="20"/>
              <w:szCs w:val="20"/>
            </w:rPr>
          </w:pPr>
          <w:r>
            <w:rPr>
              <w:rFonts w:eastAsia="Arial" w:cs="Arial"/>
              <w:color w:val="000000"/>
              <w:sz w:val="20"/>
              <w:szCs w:val="20"/>
            </w:rPr>
            <w:t>COMUNICACIÓN EXTERNA</w:t>
          </w:r>
        </w:p>
      </w:tc>
      <w:tc>
        <w:tcPr>
          <w:tcW w:w="1094" w:type="pct"/>
          <w:vAlign w:val="center"/>
        </w:tcPr>
        <w:p w14:paraId="331896E5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jc w:val="left"/>
            <w:rPr>
              <w:rFonts w:eastAsia="Calibri" w:cs="Arial"/>
              <w:color w:val="000000"/>
              <w:sz w:val="20"/>
              <w:szCs w:val="20"/>
            </w:rPr>
          </w:pPr>
          <w:r>
            <w:rPr>
              <w:rFonts w:eastAsia="Calibri" w:cs="Arial"/>
              <w:color w:val="000000"/>
              <w:sz w:val="20"/>
              <w:szCs w:val="20"/>
            </w:rPr>
            <w:t>Código: GCA-FO-02</w:t>
          </w:r>
        </w:p>
      </w:tc>
      <w:tc>
        <w:tcPr>
          <w:tcW w:w="822" w:type="pct"/>
          <w:vMerge w:val="restart"/>
        </w:tcPr>
        <w:p w14:paraId="51618C68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inline distT="0" distB="0" distL="0" distR="0" wp14:anchorId="0E508665" wp14:editId="42407794">
                <wp:extent cx="987425" cy="600075"/>
                <wp:effectExtent l="0" t="0" r="3175" b="9525"/>
                <wp:docPr id="40804146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041466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425" cy="600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DE4070" w14:paraId="7FE72EE4" w14:textId="77777777">
      <w:tblPrEx>
        <w:tblCellMar>
          <w:left w:w="108" w:type="dxa"/>
          <w:right w:w="108" w:type="dxa"/>
        </w:tblCellMar>
      </w:tblPrEx>
      <w:trPr>
        <w:trHeight w:val="204"/>
        <w:jc w:val="center"/>
      </w:trPr>
      <w:tc>
        <w:tcPr>
          <w:tcW w:w="654" w:type="pct"/>
          <w:vMerge/>
        </w:tcPr>
        <w:p w14:paraId="0D3329ED" w14:textId="77777777" w:rsidR="00DE4070" w:rsidRDefault="00DE4070">
          <w:pPr>
            <w:widowControl w:val="0"/>
            <w:spacing w:after="0" w:line="276" w:lineRule="auto"/>
            <w:ind w:hanging="2"/>
            <w:rPr>
              <w:color w:val="000000"/>
              <w:sz w:val="20"/>
              <w:szCs w:val="20"/>
            </w:rPr>
          </w:pPr>
        </w:p>
      </w:tc>
      <w:tc>
        <w:tcPr>
          <w:tcW w:w="2430" w:type="pct"/>
          <w:vMerge/>
          <w:vAlign w:val="center"/>
        </w:tcPr>
        <w:p w14:paraId="7EDC1B4C" w14:textId="77777777" w:rsidR="00DE4070" w:rsidRDefault="00DE4070">
          <w:pPr>
            <w:widowControl w:val="0"/>
            <w:spacing w:after="0" w:line="276" w:lineRule="auto"/>
            <w:ind w:hanging="2"/>
            <w:rPr>
              <w:rFonts w:cs="Arial"/>
              <w:color w:val="000000"/>
              <w:sz w:val="20"/>
              <w:szCs w:val="20"/>
            </w:rPr>
          </w:pPr>
        </w:p>
      </w:tc>
      <w:tc>
        <w:tcPr>
          <w:tcW w:w="1094" w:type="pct"/>
          <w:vAlign w:val="center"/>
        </w:tcPr>
        <w:p w14:paraId="5D102745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left"/>
            <w:rPr>
              <w:rFonts w:eastAsia="Calibri" w:cs="Arial"/>
              <w:color w:val="000000"/>
              <w:sz w:val="20"/>
              <w:szCs w:val="20"/>
            </w:rPr>
          </w:pPr>
          <w:r>
            <w:rPr>
              <w:rFonts w:eastAsia="Calibri" w:cs="Arial"/>
              <w:color w:val="000000"/>
              <w:sz w:val="20"/>
              <w:szCs w:val="20"/>
            </w:rPr>
            <w:t>Versión: 2</w:t>
          </w:r>
        </w:p>
      </w:tc>
      <w:tc>
        <w:tcPr>
          <w:tcW w:w="822" w:type="pct"/>
          <w:vMerge/>
        </w:tcPr>
        <w:p w14:paraId="4FBF7B3A" w14:textId="77777777" w:rsidR="00DE4070" w:rsidRDefault="00DE4070">
          <w:pPr>
            <w:widowControl w:val="0"/>
            <w:spacing w:after="0" w:line="276" w:lineRule="auto"/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</w:tr>
    <w:tr w:rsidR="00DE4070" w14:paraId="0AE592AC" w14:textId="77777777">
      <w:tblPrEx>
        <w:tblCellMar>
          <w:left w:w="108" w:type="dxa"/>
          <w:right w:w="108" w:type="dxa"/>
        </w:tblCellMar>
      </w:tblPrEx>
      <w:trPr>
        <w:trHeight w:val="60"/>
        <w:jc w:val="center"/>
      </w:trPr>
      <w:tc>
        <w:tcPr>
          <w:tcW w:w="654" w:type="pct"/>
          <w:vMerge/>
        </w:tcPr>
        <w:p w14:paraId="62FEE453" w14:textId="77777777" w:rsidR="00DE4070" w:rsidRDefault="00DE4070">
          <w:pPr>
            <w:widowControl w:val="0"/>
            <w:spacing w:after="0" w:line="276" w:lineRule="auto"/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2430" w:type="pct"/>
          <w:vMerge w:val="restart"/>
          <w:vAlign w:val="center"/>
        </w:tcPr>
        <w:p w14:paraId="678A3BF6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center"/>
            <w:rPr>
              <w:rFonts w:cs="Arial"/>
              <w:color w:val="000000"/>
              <w:sz w:val="20"/>
              <w:szCs w:val="20"/>
            </w:rPr>
          </w:pPr>
          <w:r>
            <w:rPr>
              <w:rFonts w:cs="Arial"/>
              <w:color w:val="000000"/>
              <w:sz w:val="20"/>
              <w:szCs w:val="20"/>
            </w:rPr>
            <w:t>E.S.E HOSPITAL REGIONAL CENTRO</w:t>
          </w:r>
        </w:p>
      </w:tc>
      <w:tc>
        <w:tcPr>
          <w:tcW w:w="1094" w:type="pct"/>
          <w:vAlign w:val="center"/>
        </w:tcPr>
        <w:p w14:paraId="3D2B3737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left"/>
            <w:rPr>
              <w:rFonts w:eastAsia="Calibri" w:cs="Arial"/>
              <w:color w:val="000000"/>
              <w:sz w:val="20"/>
              <w:szCs w:val="20"/>
            </w:rPr>
          </w:pPr>
          <w:r>
            <w:rPr>
              <w:rFonts w:eastAsia="Calibri" w:cs="Arial"/>
              <w:color w:val="000000"/>
              <w:sz w:val="20"/>
              <w:szCs w:val="20"/>
            </w:rPr>
            <w:t xml:space="preserve">Fecha: </w:t>
          </w:r>
          <w:proofErr w:type="gramStart"/>
          <w:r>
            <w:rPr>
              <w:rFonts w:eastAsia="Calibri" w:cs="Arial"/>
              <w:color w:val="000000"/>
              <w:sz w:val="20"/>
              <w:szCs w:val="20"/>
            </w:rPr>
            <w:t>Agosto</w:t>
          </w:r>
          <w:proofErr w:type="gramEnd"/>
          <w:r>
            <w:rPr>
              <w:rFonts w:eastAsia="Calibri" w:cs="Arial"/>
              <w:color w:val="000000"/>
              <w:sz w:val="20"/>
              <w:szCs w:val="20"/>
            </w:rPr>
            <w:t xml:space="preserve"> 2024</w:t>
          </w:r>
        </w:p>
      </w:tc>
      <w:tc>
        <w:tcPr>
          <w:tcW w:w="822" w:type="pct"/>
          <w:vMerge/>
        </w:tcPr>
        <w:p w14:paraId="3DF21392" w14:textId="77777777" w:rsidR="00DE4070" w:rsidRDefault="00DE4070">
          <w:pPr>
            <w:widowControl w:val="0"/>
            <w:spacing w:after="0" w:line="276" w:lineRule="auto"/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</w:tr>
    <w:tr w:rsidR="00DE4070" w14:paraId="55AB004C" w14:textId="77777777">
      <w:tblPrEx>
        <w:tblCellMar>
          <w:left w:w="108" w:type="dxa"/>
          <w:right w:w="108" w:type="dxa"/>
        </w:tblCellMar>
      </w:tblPrEx>
      <w:trPr>
        <w:trHeight w:val="60"/>
        <w:jc w:val="center"/>
      </w:trPr>
      <w:tc>
        <w:tcPr>
          <w:tcW w:w="654" w:type="pct"/>
          <w:vMerge/>
        </w:tcPr>
        <w:p w14:paraId="243880AA" w14:textId="77777777" w:rsidR="00DE4070" w:rsidRDefault="00DE4070">
          <w:pPr>
            <w:widowControl w:val="0"/>
            <w:spacing w:after="0" w:line="276" w:lineRule="auto"/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2430" w:type="pct"/>
          <w:vMerge/>
          <w:vAlign w:val="center"/>
        </w:tcPr>
        <w:p w14:paraId="26ACCBBB" w14:textId="77777777" w:rsidR="00DE4070" w:rsidRDefault="00DE4070">
          <w:pPr>
            <w:widowControl w:val="0"/>
            <w:spacing w:after="0" w:line="276" w:lineRule="auto"/>
            <w:ind w:hanging="2"/>
            <w:rPr>
              <w:rFonts w:eastAsia="Calibri" w:cs="Arial"/>
              <w:color w:val="000000"/>
              <w:sz w:val="20"/>
              <w:szCs w:val="20"/>
            </w:rPr>
          </w:pPr>
        </w:p>
      </w:tc>
      <w:tc>
        <w:tcPr>
          <w:tcW w:w="1094" w:type="pct"/>
          <w:vAlign w:val="center"/>
        </w:tcPr>
        <w:p w14:paraId="4E1093D5" w14:textId="77777777" w:rsidR="00DE4070" w:rsidRDefault="00000000">
          <w:pPr>
            <w:tabs>
              <w:tab w:val="center" w:pos="4252"/>
              <w:tab w:val="right" w:pos="8504"/>
            </w:tabs>
            <w:spacing w:after="0"/>
            <w:ind w:hanging="2"/>
            <w:jc w:val="left"/>
            <w:rPr>
              <w:rFonts w:eastAsia="Calibri" w:cs="Arial"/>
              <w:color w:val="000000"/>
              <w:sz w:val="20"/>
              <w:szCs w:val="20"/>
            </w:rPr>
          </w:pPr>
          <w:r>
            <w:rPr>
              <w:rFonts w:eastAsia="Calibri" w:cs="Arial"/>
              <w:color w:val="000000"/>
              <w:sz w:val="20"/>
              <w:szCs w:val="20"/>
            </w:rPr>
            <w:t>Pag.:</w:t>
          </w:r>
          <w:r>
            <w:rPr>
              <w:rFonts w:eastAsia="Calibri" w:cs="Arial"/>
              <w:color w:val="000000"/>
              <w:sz w:val="20"/>
              <w:szCs w:val="20"/>
            </w:rPr>
            <w:fldChar w:fldCharType="begin"/>
          </w:r>
          <w:r>
            <w:rPr>
              <w:rFonts w:eastAsia="Calibri" w:cs="Arial"/>
              <w:color w:val="000000"/>
              <w:sz w:val="20"/>
              <w:szCs w:val="20"/>
            </w:rPr>
            <w:instrText>PAGE   \* MERGEFORMAT</w:instrText>
          </w:r>
          <w:r>
            <w:rPr>
              <w:rFonts w:eastAsia="Calibri" w:cs="Arial"/>
              <w:color w:val="000000"/>
              <w:sz w:val="20"/>
              <w:szCs w:val="20"/>
            </w:rPr>
            <w:fldChar w:fldCharType="separate"/>
          </w:r>
          <w:r>
            <w:rPr>
              <w:rFonts w:eastAsia="Calibri" w:cs="Arial"/>
              <w:color w:val="000000"/>
              <w:sz w:val="20"/>
              <w:szCs w:val="20"/>
            </w:rPr>
            <w:t>1</w:t>
          </w:r>
          <w:r>
            <w:rPr>
              <w:rFonts w:eastAsia="Calibri" w:cs="Arial"/>
              <w:color w:val="000000"/>
              <w:sz w:val="20"/>
              <w:szCs w:val="20"/>
            </w:rPr>
            <w:fldChar w:fldCharType="end"/>
          </w:r>
        </w:p>
      </w:tc>
      <w:tc>
        <w:tcPr>
          <w:tcW w:w="822" w:type="pct"/>
          <w:vMerge/>
        </w:tcPr>
        <w:p w14:paraId="6D04367B" w14:textId="77777777" w:rsidR="00DE4070" w:rsidRDefault="00DE4070">
          <w:pPr>
            <w:widowControl w:val="0"/>
            <w:spacing w:after="0" w:line="276" w:lineRule="auto"/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</w:tr>
  </w:tbl>
  <w:p w14:paraId="1C3747F1" w14:textId="77777777" w:rsidR="00DE4070" w:rsidRDefault="00DE407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C3"/>
    <w:rsid w:val="000563F6"/>
    <w:rsid w:val="00094768"/>
    <w:rsid w:val="00126A1F"/>
    <w:rsid w:val="00147C18"/>
    <w:rsid w:val="0015414C"/>
    <w:rsid w:val="00173B02"/>
    <w:rsid w:val="001E7C52"/>
    <w:rsid w:val="0023289C"/>
    <w:rsid w:val="002355C4"/>
    <w:rsid w:val="00242F16"/>
    <w:rsid w:val="00253C95"/>
    <w:rsid w:val="002B3A7A"/>
    <w:rsid w:val="003079BB"/>
    <w:rsid w:val="00323C18"/>
    <w:rsid w:val="003451F7"/>
    <w:rsid w:val="003915B3"/>
    <w:rsid w:val="003B5C75"/>
    <w:rsid w:val="003C4020"/>
    <w:rsid w:val="003F311D"/>
    <w:rsid w:val="00405478"/>
    <w:rsid w:val="004705D9"/>
    <w:rsid w:val="00484C4D"/>
    <w:rsid w:val="004B3B04"/>
    <w:rsid w:val="004B6CD9"/>
    <w:rsid w:val="004C0378"/>
    <w:rsid w:val="004D6A9D"/>
    <w:rsid w:val="004E0C35"/>
    <w:rsid w:val="004E19FB"/>
    <w:rsid w:val="005206D4"/>
    <w:rsid w:val="00524590"/>
    <w:rsid w:val="005A45A3"/>
    <w:rsid w:val="005B243F"/>
    <w:rsid w:val="005B6C48"/>
    <w:rsid w:val="005E6D37"/>
    <w:rsid w:val="005F4B01"/>
    <w:rsid w:val="005F79C5"/>
    <w:rsid w:val="00606C0A"/>
    <w:rsid w:val="00624A6C"/>
    <w:rsid w:val="00640A3A"/>
    <w:rsid w:val="0066029F"/>
    <w:rsid w:val="00665D08"/>
    <w:rsid w:val="006719F1"/>
    <w:rsid w:val="00696C3A"/>
    <w:rsid w:val="006B0744"/>
    <w:rsid w:val="006B4C97"/>
    <w:rsid w:val="006B6D79"/>
    <w:rsid w:val="00724999"/>
    <w:rsid w:val="007A1F0F"/>
    <w:rsid w:val="007E0CB5"/>
    <w:rsid w:val="007E371E"/>
    <w:rsid w:val="007E7A56"/>
    <w:rsid w:val="00801B92"/>
    <w:rsid w:val="0084076A"/>
    <w:rsid w:val="008B160D"/>
    <w:rsid w:val="008B4C10"/>
    <w:rsid w:val="008C15A3"/>
    <w:rsid w:val="008C6F62"/>
    <w:rsid w:val="008D6EEF"/>
    <w:rsid w:val="008E3B77"/>
    <w:rsid w:val="009332A9"/>
    <w:rsid w:val="0093332B"/>
    <w:rsid w:val="0093587C"/>
    <w:rsid w:val="00965F51"/>
    <w:rsid w:val="00970BEE"/>
    <w:rsid w:val="009905FE"/>
    <w:rsid w:val="009A35BE"/>
    <w:rsid w:val="009B45F7"/>
    <w:rsid w:val="009D67C3"/>
    <w:rsid w:val="009F23D5"/>
    <w:rsid w:val="00A018CA"/>
    <w:rsid w:val="00A03FD1"/>
    <w:rsid w:val="00A22772"/>
    <w:rsid w:val="00A52736"/>
    <w:rsid w:val="00A8053B"/>
    <w:rsid w:val="00A86C95"/>
    <w:rsid w:val="00AC02D5"/>
    <w:rsid w:val="00B13B7C"/>
    <w:rsid w:val="00B1420D"/>
    <w:rsid w:val="00B26974"/>
    <w:rsid w:val="00B777DB"/>
    <w:rsid w:val="00B97CA8"/>
    <w:rsid w:val="00BC1594"/>
    <w:rsid w:val="00BD50D1"/>
    <w:rsid w:val="00BF10B0"/>
    <w:rsid w:val="00C64230"/>
    <w:rsid w:val="00C947D6"/>
    <w:rsid w:val="00C95256"/>
    <w:rsid w:val="00CA3F01"/>
    <w:rsid w:val="00CA41C9"/>
    <w:rsid w:val="00CB786B"/>
    <w:rsid w:val="00CC5003"/>
    <w:rsid w:val="00CC67F9"/>
    <w:rsid w:val="00CE1A9C"/>
    <w:rsid w:val="00CE37F7"/>
    <w:rsid w:val="00CF66EB"/>
    <w:rsid w:val="00D47E14"/>
    <w:rsid w:val="00D51A48"/>
    <w:rsid w:val="00D52CA1"/>
    <w:rsid w:val="00D92C91"/>
    <w:rsid w:val="00DA588F"/>
    <w:rsid w:val="00DB3A8F"/>
    <w:rsid w:val="00DD5FDD"/>
    <w:rsid w:val="00DE4070"/>
    <w:rsid w:val="00E06441"/>
    <w:rsid w:val="00E30C10"/>
    <w:rsid w:val="00E332F4"/>
    <w:rsid w:val="00E3577F"/>
    <w:rsid w:val="00E55AD1"/>
    <w:rsid w:val="00E8158D"/>
    <w:rsid w:val="00E95D9C"/>
    <w:rsid w:val="00EC6E60"/>
    <w:rsid w:val="00ED2745"/>
    <w:rsid w:val="00EF6B23"/>
    <w:rsid w:val="00F0434F"/>
    <w:rsid w:val="00F055D9"/>
    <w:rsid w:val="00F1071B"/>
    <w:rsid w:val="00F37E90"/>
    <w:rsid w:val="00F5680A"/>
    <w:rsid w:val="00F816BF"/>
    <w:rsid w:val="00FE02F1"/>
    <w:rsid w:val="00FE208F"/>
    <w:rsid w:val="00FE546C"/>
    <w:rsid w:val="00FE6103"/>
    <w:rsid w:val="00FE6BD7"/>
    <w:rsid w:val="4D215D21"/>
    <w:rsid w:val="667D3839"/>
    <w:rsid w:val="6B162CBB"/>
    <w:rsid w:val="7890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9402"/>
  <w15:docId w15:val="{597F8497-119D-4292-BF40-B9CC1EEA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  <w:jc w:val="both"/>
    </w:pPr>
    <w:rPr>
      <w:rFonts w:ascii="Arial" w:hAnsi="Arial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uiPriority w:val="20"/>
    <w:qFormat/>
    <w:rPr>
      <w:i/>
      <w:iCs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qFormat/>
    <w:rPr>
      <w:rFonts w:ascii="Arial" w:hAnsi="Aria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73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ecentro.com" TargetMode="External"/><Relationship Id="rId1" Type="http://schemas.openxmlformats.org/officeDocument/2006/relationships/hyperlink" Target="mailto:secretariageneral@centroese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Patiño Flórez</dc:creator>
  <cp:lastModifiedBy>Natalia Angarita</cp:lastModifiedBy>
  <cp:revision>2</cp:revision>
  <cp:lastPrinted>2021-03-08T19:29:00Z</cp:lastPrinted>
  <dcterms:created xsi:type="dcterms:W3CDTF">2026-10-06T22:45:00Z</dcterms:created>
  <dcterms:modified xsi:type="dcterms:W3CDTF">2026-10-06T22:45:00Z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81F5C677738245DEBB240246E264F419_12</vt:lpwstr>
  </property>
</Properties>
</file>