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Gramalote, 7 de octubre de 2026</w:t>
      </w: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Señores</w:t>
      </w:r>
    </w:p>
    <w:p>
      <w:pPr>
        <w:spacing w:before="0" w:after="0" w:line="276" w:lineRule="auto"/>
        <w:jc w:val="left"/>
        <w:rPr>
          <w:rFonts w:ascii="Times New Roman" w:eastAsia="Arial" w:hAnsi="Times New Roman" w:cs="Times New Roman"/>
          <w:b/>
          <w:bCs/>
          <w:sz w:val="24"/>
          <w:szCs w:val="24"/>
          <w:lang w:val="es-CO"/>
        </w:rPr>
      </w:pPr>
      <w:r>
        <w:rPr>
          <w:rFonts w:ascii="Times New Roman" w:eastAsia="Arial" w:hAnsi="Times New Roman" w:cs="Times New Roman"/>
          <w:b/>
          <w:bCs/>
          <w:sz w:val="24"/>
          <w:szCs w:val="24"/>
          <w:lang w:val="es-CO"/>
        </w:rPr>
        <w:t xml:space="preserve">CONTRALORÍA GENERAL DEL DEPARTAMENTO NORTE DE SANTANDER</w:t>
      </w: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Atención: doctora Gloria Esperanza Vera Castillo, Profesional Universitario, Auditora designada</w:t>
      </w: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San José de Cúcuta</w:t>
      </w: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b/>
          <w:bCs/>
          <w:sz w:val="24"/>
          <w:szCs w:val="24"/>
          <w:lang w:val="es-CO"/>
        </w:rPr>
        <w:t xml:space="preserve">Asunto:</w:t>
      </w:r>
      <w:r>
        <w:rPr>
          <w:rFonts w:ascii="Times New Roman" w:eastAsia="Arial" w:hAnsi="Times New Roman" w:cs="Times New Roman"/>
          <w:sz w:val="24"/>
          <w:szCs w:val="24"/>
          <w:lang w:val="es-CO"/>
        </w:rPr>
        <w:t xml:space="preserve"> Respuesta al requerimiento del 1 de octubre de 2026 y a su alcance sobre los contratos 983, 1058 y 1056 de 2025, y remisión de soportes.</w:t>
      </w: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b/>
          <w:bCs/>
          <w:sz w:val="24"/>
          <w:szCs w:val="24"/>
          <w:lang w:val="es-CO"/>
        </w:rPr>
        <w:t xml:space="preserve">Referencia:</w:t>
      </w:r>
      <w:r>
        <w:rPr>
          <w:rFonts w:ascii="Times New Roman" w:eastAsia="Arial" w:hAnsi="Times New Roman" w:cs="Times New Roman"/>
          <w:sz w:val="24"/>
          <w:szCs w:val="24"/>
          <w:lang w:val="es-CO"/>
        </w:rPr>
        <w:t xml:space="preserve"> Auditoría Financiera de Gestión y Resultados Abreviada, vigencia 2025. Radicado N° 20262010017741 del 18 de agosto de 2026.</w:t>
      </w:r>
    </w:p>
    <w:p>
      <w:pPr>
        <w:spacing w:before="0" w:after="0" w:line="276" w:lineRule="auto"/>
        <w:jc w:val="both"/>
        <w:rPr>
          <w:rFonts w:ascii="Times New Roman" w:eastAsia="Arial" w:hAnsi="Times New Roman" w:cs="Times New Roman"/>
          <w:sz w:val="24"/>
          <w:szCs w:val="24"/>
          <w:lang w:val="es-CO"/>
        </w:rPr>
      </w:pP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Cordial saludo.</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Mediante la comunicación con radicado N° 20262010017741, ese órgano de control notificó la apertura de la Auditoría Financiera de Gestión y Resultados Abreviada a la E.S.E. Hospital Regional Centro por la vigencia 2025. El 1 de octubre de 2026 el equipo auditor requirió los soportes y aclaraciones pendientes de los contratos 983, 1056 y 1058 de 2025 </w:t>
      </w:r>
      <w:r>
        <w:rPr>
          <w:rFonts w:ascii="Times New Roman" w:eastAsia="Arial" w:hAnsi="Times New Roman" w:cs="Times New Roman"/>
          <w:highlight w:val="yellow"/>
          <w:sz w:val="24"/>
          <w:szCs w:val="24"/>
          <w:lang w:val="es-CO"/>
        </w:rPr>
        <w:t xml:space="preserve">y mediante oficio de alcance radicado N° (número) del (fecha) precisó los puntos por atender</w:t>
      </w:r>
      <w:r>
        <w:rPr>
          <w:rFonts w:ascii="Times New Roman" w:eastAsia="Arial" w:hAnsi="Times New Roman" w:cs="Times New Roman"/>
          <w:sz w:val="24"/>
          <w:szCs w:val="24"/>
          <w:lang w:val="es-CO"/>
        </w:rPr>
        <w:t xml:space="preserve">; el 2 de octubre de 2026 la entidad solicitó un término de setenta y dos horas hábiles </w:t>
      </w:r>
      <w:r>
        <w:rPr>
          <w:rFonts w:ascii="Times New Roman" w:eastAsia="Arial" w:hAnsi="Times New Roman" w:cs="Times New Roman"/>
          <w:highlight w:val="yellow"/>
          <w:sz w:val="24"/>
          <w:szCs w:val="24"/>
          <w:lang w:val="es-CO"/>
        </w:rPr>
        <w:t xml:space="preserve">radicado y, si existe, la comunicación que lo concedió</w:t>
      </w:r>
      <w:r>
        <w:rPr>
          <w:rFonts w:ascii="Times New Roman" w:eastAsia="Arial" w:hAnsi="Times New Roman" w:cs="Times New Roman"/>
          <w:sz w:val="24"/>
          <w:szCs w:val="24"/>
          <w:lang w:val="es-CO"/>
        </w:rPr>
        <w:t xml:space="preserve">. Dentro de ese término, la entidad responde en un solo oficio, con un capítulo por contrato, y remite los soportes que acreditan cada respuesta. Esta comunicación complementa la respuesta del 29 de septiembre de 2026 </w:t>
      </w:r>
      <w:r>
        <w:rPr>
          <w:rFonts w:ascii="Times New Roman" w:eastAsia="Arial" w:hAnsi="Times New Roman" w:cs="Times New Roman"/>
          <w:highlight w:val="yellow"/>
          <w:sz w:val="24"/>
          <w:szCs w:val="24"/>
          <w:lang w:val="es-CO"/>
        </w:rPr>
        <w:t xml:space="preserve">radicado</w:t>
      </w:r>
      <w:r>
        <w:rPr>
          <w:rFonts w:ascii="Times New Roman" w:eastAsia="Arial" w:hAnsi="Times New Roman" w:cs="Times New Roman"/>
          <w:sz w:val="24"/>
          <w:szCs w:val="24"/>
          <w:lang w:val="es-CO"/>
        </w:rPr>
        <w:t xml:space="preserve"> y la documentación remitida el 1 de octubre de 2026, que se mantiene y no se repite salvo lo que se anexa de nuevo para facilidad de consulta </w:t>
      </w:r>
      <w:r>
        <w:rPr>
          <w:rFonts w:ascii="Times New Roman" w:eastAsia="Arial" w:hAnsi="Times New Roman" w:cs="Times New Roman"/>
          <w:highlight w:val="yellow"/>
          <w:sz w:val="24"/>
          <w:szCs w:val="24"/>
          <w:lang w:val="es-CO"/>
        </w:rPr>
        <w:t xml:space="preserve">verificar el contenido exacto del enlace enviado ese día</w:t>
      </w:r>
      <w:r>
        <w:rPr>
          <w:rFonts w:ascii="Times New Roman" w:eastAsia="Arial" w:hAnsi="Times New Roman" w:cs="Times New Roman"/>
          <w:sz w:val="24"/>
          <w:szCs w:val="24"/>
          <w:lang w:val="es-CO"/>
        </w:rPr>
        <w:t xml:space="preserve">. Las respuestas de los contratistas se anexan en los términos en que fueron recibidas; la posición de la entidad es la que se expone en este oficio.</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La E.S.E. contrata bajo el derecho privado y su Manual de Contratación (Resolución 002 de 2023 y sus modificaciones), con sujeción a los principios de la función administrativa y de la gestión fiscal y al régimen de inhabilidades e incompatibilidades. Cada capítulo presenta los antecedentes del contrato, la respuesta a cada observación en el orden del requerimiento y la relación de anexos.</w:t>
      </w:r>
    </w:p>
    <w:p>
      <w:pPr>
        <w:keepNext/>
        <w:spacing w:before="24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b/>
          <w:bCs/>
          <w:sz w:val="24"/>
          <w:szCs w:val="24"/>
          <w:lang w:val="es-CO"/>
        </w:rPr>
        <w:t xml:space="preserve">I. Contrato de Suministro N° 983 de 2025 (dotación informática, System Salud)</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Antecedentes</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El contrato tuvo por objeto la dotación informática de los Equipos Básicos en Salud de Gramalote, Salazar, Arboledas, Lourdes y Villa Caro, con recursos de la Resolución 877 de 2025. Se celebró con la señora Chiquinquirá Contreras Rodríguez, C.C. 60.371.860, propietaria de System Salud, por $46.321.300 IVA incluido, mediante invitación privada de mínima cuantía N° 017 de 2025, con CDP N° 1329 del 3 de octubre de 2025 y RP N° </w:t>
      </w:r>
      <w:r>
        <w:rPr>
          <w:rFonts w:ascii="Times New Roman" w:eastAsia="Arial" w:hAnsi="Times New Roman" w:cs="Times New Roman"/>
          <w:highlight w:val="yellow"/>
          <w:sz w:val="24"/>
          <w:szCs w:val="24"/>
          <w:lang w:val="es-CO"/>
        </w:rPr>
        <w:t xml:space="preserve">número</w:t>
      </w:r>
      <w:r>
        <w:rPr>
          <w:rFonts w:ascii="Times New Roman" w:eastAsia="Arial" w:hAnsi="Times New Roman" w:cs="Times New Roman"/>
          <w:sz w:val="24"/>
          <w:szCs w:val="24"/>
          <w:lang w:val="es-CO"/>
        </w:rPr>
        <w:t xml:space="preserve"> del 7 de octubre de 2025. Acta de inicio del 9 de octubre de 2025, plazo de un mes; factura FE-2920 del 17 de octubre; ingreso a almacén FCAF-53 del 20 de octubre; acta de recibo final del 31 de octubre de 2025; pago único y liquidación.</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Respuesta a las observaciones</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w:t>
        <w:tab/>
      </w:r>
      <w:r>
        <w:rPr>
          <w:rFonts w:ascii="Times New Roman" w:eastAsia="Arial" w:hAnsi="Times New Roman" w:cs="Times New Roman"/>
          <w:sz w:val="24"/>
          <w:szCs w:val="24"/>
          <w:lang w:val="es-CO"/>
        </w:rPr>
        <w:t xml:space="preserve">Modalidad y soportes del proceso. El contrato se adelantó por mínima cuantía mediante la invitación privada N° 017 de 2025; se recibió y evaluó una sola propuesta. La casilla "SIN OFERTAS" del formato de rendición es un error de diligenciamiento, pues en este proceso sí se cursó invitación y se recibió una oferta; esa casilla corresponde a los contratos celebrados sin convocatoria. Se solicita al equipo auditor indicar el procedimiento para corregir el formato, si a ello hubiere lugar, el cual la entidad atenderá de inmediato. Se anexan invitación, propuesta, acta de cierre, informe de evaluación y constancia de traslado.</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b)</w:t>
        <w:tab/>
      </w:r>
      <w:r>
        <w:rPr>
          <w:rFonts w:ascii="Times New Roman" w:eastAsia="Arial" w:hAnsi="Times New Roman" w:cs="Times New Roman"/>
          <w:sz w:val="24"/>
          <w:szCs w:val="24"/>
          <w:lang w:val="es-CO"/>
        </w:rPr>
        <w:t xml:space="preserve">Estudio previo. La mención a la contratación directa y el valor de $46.504.850 son residuos de plantilla. La modalidad fue mínima cuantía y el valor contratado, $46.321.300, es el de la única propuesta, inferior al presupuesto estimado y respaldado por el CDP 1329.</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c)</w:t>
        <w:tab/>
      </w:r>
      <w:r>
        <w:rPr>
          <w:rFonts w:ascii="Times New Roman" w:eastAsia="Arial" w:hAnsi="Times New Roman" w:cs="Times New Roman"/>
          <w:sz w:val="24"/>
          <w:szCs w:val="24"/>
          <w:lang w:val="es-CO"/>
        </w:rPr>
        <w:t xml:space="preserve">Invitación anterior al CDP. La invitación no comprometió recursos; el compromiso nació con el contrato, ya expedidos el CDP (3 de octubre) y el RP (7 de octubre de 2025). La entidad acoge como acción de mejora expedir el CDP antes de abrir la invitación.</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d)</w:t>
        <w:tab/>
      </w:r>
      <w:r>
        <w:rPr>
          <w:rFonts w:ascii="Times New Roman" w:eastAsia="Arial" w:hAnsi="Times New Roman" w:cs="Times New Roman"/>
          <w:sz w:val="24"/>
          <w:szCs w:val="24"/>
          <w:lang w:val="es-CO"/>
        </w:rPr>
        <w:t xml:space="preserve">Cierre y evaluación sin fecha. Cierre el 1 de octubre de 2025; evaluación y comunicación a la proponente el 2 de octubre; traslado sin observaciones el 3 de octubre. Se anexa la constancia de recibo, traslado y manifestación sobre el informe de evaluación, suscrita por la proponente y por el Líder de Contratación. </w:t>
      </w:r>
      <w:r>
        <w:rPr>
          <w:rFonts w:ascii="Times New Roman" w:eastAsia="Arial" w:hAnsi="Times New Roman" w:cs="Times New Roman"/>
          <w:highlight w:val="yellow"/>
          <w:sz w:val="24"/>
          <w:szCs w:val="24"/>
          <w:lang w:val="es-CO"/>
        </w:rPr>
        <w:t xml:space="preserve">La constancia está fechada el 3 de octubre de 2025 pero el archivo PDF se generó el 5 de octubre de 2026. Si fue elaborada ahora, debe llevar la fecha actual y presentarse como certificación de hechos ocurridos el 2 y 3 de octubre de 2025; un documento con fecha anterior a su elaboración expone a la Gerente y a los firmantes a un riesgo penal y disciplinario mayor que la observación que subsana.</w:t>
      </w:r>
      <w:r>
        <w:rPr>
          <w:rFonts w:ascii="Times New Roman" w:eastAsia="Arial" w:hAnsi="Times New Roman" w:cs="Times New Roman"/>
          <w:sz w:val="24"/>
          <w:szCs w:val="24"/>
          <w:lang w:val="es-CO"/>
        </w:rPr>
        <w:t xml:space="preserve"> Los formatos se ajustarán para consignar fecha en cada etapa.</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w:t>
        <w:tab/>
      </w:r>
      <w:r>
        <w:rPr>
          <w:rFonts w:ascii="Times New Roman" w:eastAsia="Arial" w:hAnsi="Times New Roman" w:cs="Times New Roman"/>
          <w:sz w:val="24"/>
          <w:szCs w:val="24"/>
          <w:lang w:val="es-CO"/>
        </w:rPr>
        <w:t xml:space="preserve">Plazo y rubro del formato de rendición. El plazo fue de un mes desde el acta de inicio (9 de octubre a 8 de noviembre de 2025). Las fechas y el rubro del formato son errores de diligenciamiento ya reconocidos el 29 de septiembre; los rubros reales son 2.1.2.01.01.003.03.11 a 2.1.2.01.01.003.03.20. Se solicita indicar el mecanismo de corrección.</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f)</w:t>
        <w:tab/>
      </w:r>
      <w:r>
        <w:rPr>
          <w:rFonts w:ascii="Times New Roman" w:eastAsia="Arial" w:hAnsi="Times New Roman" w:cs="Times New Roman"/>
          <w:sz w:val="24"/>
          <w:szCs w:val="24"/>
          <w:lang w:val="es-CO"/>
        </w:rPr>
        <w:t xml:space="preserve">Supervisión. La ejerció una sola funcionaria, la doctora Yolima Beltrán Santander, Subdirectora Científica, designada el 7 de octubre de 2025. El cargo distinto que registran el contrato y el formato es un error de plantilla. Se anexa la designación.</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g)</w:t>
        <w:tab/>
      </w:r>
      <w:r>
        <w:rPr>
          <w:rFonts w:ascii="Times New Roman" w:eastAsia="Arial" w:hAnsi="Times New Roman" w:cs="Times New Roman"/>
          <w:sz w:val="24"/>
          <w:szCs w:val="24"/>
          <w:lang w:val="es-CO"/>
        </w:rPr>
        <w:t xml:space="preserve">Nombre de la contratista. El segundo apellido correcto es Rodríguez, como consta en la póliza, el RP, el egreso y el formato de rendición. La cédula coincide en todos los documentos.</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h)</w:t>
        <w:tab/>
      </w:r>
      <w:r>
        <w:rPr>
          <w:rFonts w:ascii="Times New Roman" w:eastAsia="Arial" w:hAnsi="Times New Roman" w:cs="Times New Roman"/>
          <w:sz w:val="24"/>
          <w:szCs w:val="24"/>
          <w:lang w:val="es-CO"/>
        </w:rPr>
        <w:t xml:space="preserve">CDP citado en el contrato. "1239" es una transposición de "1329", único CDP del contrato.</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i)</w:t>
        <w:tab/>
      </w:r>
      <w:r>
        <w:rPr>
          <w:rFonts w:ascii="Times New Roman" w:eastAsia="Arial" w:hAnsi="Times New Roman" w:cs="Times New Roman"/>
          <w:sz w:val="24"/>
          <w:szCs w:val="24"/>
          <w:lang w:val="es-CO"/>
        </w:rPr>
        <w:t xml:space="preserve">Informe de actividades y certificación posteriores al egreso. El pago (egreso N° </w:t>
      </w:r>
      <w:r>
        <w:rPr>
          <w:rFonts w:ascii="Times New Roman" w:eastAsia="Arial" w:hAnsi="Times New Roman" w:cs="Times New Roman"/>
          <w:highlight w:val="yellow"/>
          <w:sz w:val="24"/>
          <w:szCs w:val="24"/>
          <w:lang w:val="es-CO"/>
        </w:rPr>
        <w:t xml:space="preserve">número</w:t>
      </w:r>
      <w:r>
        <w:rPr>
          <w:rFonts w:ascii="Times New Roman" w:eastAsia="Arial" w:hAnsi="Times New Roman" w:cs="Times New Roman"/>
          <w:sz w:val="24"/>
          <w:szCs w:val="24"/>
          <w:lang w:val="es-CO"/>
        </w:rPr>
        <w:t xml:space="preserve"> del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se soportó en la factura, el ingreso a almacén y el acta de recibo final del 31 de octubre de 2025 </w:t>
      </w:r>
      <w:r>
        <w:rPr>
          <w:rFonts w:ascii="Times New Roman" w:eastAsia="Arial" w:hAnsi="Times New Roman" w:cs="Times New Roman"/>
          <w:highlight w:val="yellow"/>
          <w:sz w:val="24"/>
          <w:szCs w:val="24"/>
          <w:lang w:val="es-CO"/>
        </w:rPr>
        <w:t xml:space="preserve">confirmar que el acta es anterior al egreso</w:t>
      </w:r>
      <w:r>
        <w:rPr>
          <w:rFonts w:ascii="Times New Roman" w:eastAsia="Arial" w:hAnsi="Times New Roman" w:cs="Times New Roman"/>
          <w:sz w:val="24"/>
          <w:szCs w:val="24"/>
          <w:lang w:val="es-CO"/>
        </w:rPr>
        <w:t xml:space="preserve">. El informe de actividades y el formato de supervisión se incorporaron después; la entidad los exigirá como requisito previo de pago. Se anexa la relación de equipos con marca, modelo, serial y sede de destino </w:t>
      </w:r>
      <w:r>
        <w:rPr>
          <w:rFonts w:ascii="Times New Roman" w:eastAsia="Arial" w:hAnsi="Times New Roman" w:cs="Times New Roman"/>
          <w:highlight w:val="yellow"/>
          <w:sz w:val="24"/>
          <w:szCs w:val="24"/>
          <w:lang w:val="es-CO"/>
        </w:rPr>
        <w:t xml:space="preserve">y registro fotográfico, si existe</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j)</w:t>
        <w:tab/>
      </w:r>
      <w:r>
        <w:rPr>
          <w:rFonts w:ascii="Times New Roman" w:eastAsia="Arial" w:hAnsi="Times New Roman" w:cs="Times New Roman"/>
          <w:sz w:val="24"/>
          <w:szCs w:val="24"/>
          <w:lang w:val="es-CO"/>
        </w:rPr>
        <w:t xml:space="preserve">Formato de supervisión. El correo registrado no era el de la contratista y fue corregido con el formato complementario del 5 de octubre de 2026. Se usó la plantilla de prestación de servicios; la entidad adoptará un formato propio para suministros. </w:t>
      </w:r>
      <w:r>
        <w:rPr>
          <w:rFonts w:ascii="Times New Roman" w:eastAsia="Arial" w:hAnsi="Times New Roman" w:cs="Times New Roman"/>
          <w:highlight w:val="yellow"/>
          <w:sz w:val="24"/>
          <w:szCs w:val="24"/>
          <w:lang w:val="es-CO"/>
        </w:rPr>
        <w:t xml:space="preserve">La solicitud del 2 de octubre y la constancia del 5 de octubre de 2026 dicen "señor Chinquinquira" y "Contrato de Prestación de Servicios": corregirlas antes de anexarlas, porque repiten el error que aquí se explica.</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k)</w:t>
        <w:tab/>
      </w:r>
      <w:r>
        <w:rPr>
          <w:rFonts w:ascii="Times New Roman" w:eastAsia="Arial" w:hAnsi="Times New Roman" w:cs="Times New Roman"/>
          <w:sz w:val="24"/>
          <w:szCs w:val="24"/>
          <w:lang w:val="es-CO"/>
        </w:rPr>
        <w:t xml:space="preserve">Estampillas. Solo se descontó la Estampilla Pro-Hospital Erasmo Meoz ($879.800). La entidad reconoció el 5 de octubre de 2026 que la liquidación fue incompleta y precisa que, por haberse suscrito el contrato el 7 de octubre de 2025 </w:t>
      </w:r>
      <w:r>
        <w:rPr>
          <w:rFonts w:ascii="Times New Roman" w:eastAsia="Arial" w:hAnsi="Times New Roman" w:cs="Times New Roman"/>
          <w:highlight w:val="yellow"/>
          <w:sz w:val="24"/>
          <w:szCs w:val="24"/>
          <w:lang w:val="es-CO"/>
        </w:rPr>
        <w:t xml:space="preserve">y pagado el (fecha del egreso)</w:t>
      </w:r>
      <w:r>
        <w:rPr>
          <w:rFonts w:ascii="Times New Roman" w:eastAsia="Arial" w:hAnsi="Times New Roman" w:cs="Times New Roman"/>
          <w:sz w:val="24"/>
          <w:szCs w:val="24"/>
          <w:lang w:val="es-CO"/>
        </w:rPr>
        <w:t xml:space="preserve">, los gravámenes aplicables son los del estatuto de rentas vigente en la fecha del hecho generador, que puede ser anterior a la Ordenanza 018 del 20 de octubre de 2025 citada en esa comunicación. Por ello solicitó concepto a la Secretaría de Hacienda departamental </w:t>
      </w:r>
      <w:r>
        <w:rPr>
          <w:rFonts w:ascii="Times New Roman" w:eastAsia="Arial" w:hAnsi="Times New Roman" w:cs="Times New Roman"/>
          <w:highlight w:val="yellow"/>
          <w:sz w:val="24"/>
          <w:szCs w:val="24"/>
          <w:lang w:val="es-CO"/>
        </w:rPr>
        <w:t xml:space="preserve">fecha y radicado; una sola consulta para los contratos 983 y 1058</w:t>
      </w:r>
      <w:r>
        <w:rPr>
          <w:rFonts w:ascii="Times New Roman" w:eastAsia="Arial" w:hAnsi="Times New Roman" w:cs="Times New Roman"/>
          <w:sz w:val="24"/>
          <w:szCs w:val="24"/>
          <w:lang w:val="es-CO"/>
        </w:rPr>
        <w:t xml:space="preserve"> sobre los gravámenes aplicables (Pro-Cultura, Pro-Adulto Mayor, Pro-UFPS y Tasa Prodeporte) y liquidará y trasladará los valores que resulten </w:t>
      </w:r>
      <w:r>
        <w:rPr>
          <w:rFonts w:ascii="Times New Roman" w:eastAsia="Arial" w:hAnsi="Times New Roman" w:cs="Times New Roman"/>
          <w:highlight w:val="yellow"/>
          <w:sz w:val="24"/>
          <w:szCs w:val="24"/>
          <w:lang w:val="es-CO"/>
        </w:rPr>
        <w:t xml:space="preserve">indicar quién asume los valores y el plazo</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l)</w:t>
        <w:tab/>
      </w:r>
      <w:r>
        <w:rPr>
          <w:rFonts w:ascii="Times New Roman" w:eastAsia="Arial" w:hAnsi="Times New Roman" w:cs="Times New Roman"/>
          <w:sz w:val="24"/>
          <w:szCs w:val="24"/>
          <w:lang w:val="es-CO"/>
        </w:rPr>
        <w:t xml:space="preserve">Garantía. Se anexa la póliza N° 460-47-994000091804 de Aseguradora Solidaria, del 9 de octubre de 2025, con amparos de cumplimiento y calidad del bien por $4.632.130 cada uno y vigencia del 7 de octubre de 2025 al 7 de mayo de 2026, junto con el acta de aprobación del 9 de octubre de 2025, en la que el número de la póliza y la denominación del amparo de calidad presentan errores de transcripción que no afectan la identificación de la garantía. La póliza de responsabilidad civil extracontractual fue remitida con anterioridad.</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Anexos del capítulo</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1.</w:t>
        <w:tab/>
      </w:r>
      <w:r>
        <w:rPr>
          <w:rFonts w:ascii="Times New Roman" w:eastAsia="Arial" w:hAnsi="Times New Roman" w:cs="Times New Roman"/>
          <w:sz w:val="24"/>
          <w:szCs w:val="24"/>
          <w:lang w:val="es-CO"/>
        </w:rPr>
        <w:t xml:space="preserve">Estudio previo.</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2.</w:t>
        <w:tab/>
      </w:r>
      <w:r>
        <w:rPr>
          <w:rFonts w:ascii="Times New Roman" w:eastAsia="Arial" w:hAnsi="Times New Roman" w:cs="Times New Roman"/>
          <w:sz w:val="24"/>
          <w:szCs w:val="24"/>
          <w:lang w:val="es-CO"/>
        </w:rPr>
        <w:t xml:space="preserve">Invitación privada N° 017 de 2025, propuesta, acta de cierre e informe de evaluación.</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3.</w:t>
        <w:tab/>
      </w:r>
      <w:r>
        <w:rPr>
          <w:rFonts w:ascii="Times New Roman" w:eastAsia="Arial" w:hAnsi="Times New Roman" w:cs="Times New Roman"/>
          <w:sz w:val="24"/>
          <w:szCs w:val="24"/>
          <w:lang w:val="es-CO"/>
        </w:rPr>
        <w:t xml:space="preserve">Constancia de recibo, traslado y manifestación sobre el informe de evaluación.</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4.</w:t>
        <w:tab/>
      </w:r>
      <w:r>
        <w:rPr>
          <w:rFonts w:ascii="Times New Roman" w:eastAsia="Arial" w:hAnsi="Times New Roman" w:cs="Times New Roman"/>
          <w:sz w:val="24"/>
          <w:szCs w:val="24"/>
          <w:lang w:val="es-CO"/>
        </w:rPr>
        <w:t xml:space="preserve">Respuesta técnica, jurídica y subsanación definitiva suscrita por la Gerente y la supervisora. </w:t>
      </w:r>
      <w:r>
        <w:rPr>
          <w:rFonts w:ascii="Times New Roman" w:eastAsia="Arial" w:hAnsi="Times New Roman" w:cs="Times New Roman"/>
          <w:highlight w:val="yellow"/>
          <w:sz w:val="24"/>
          <w:szCs w:val="24"/>
          <w:lang w:val="es-CO"/>
        </w:rPr>
        <w:t xml:space="preserve">Antes de anexarla, ajustar cuatro menciones que contradicen este oficio: cita el artículo 34 del Manual y el artículo 24 de la Ley 80 de 1993, inaplicable a la E.S.E.; habla de pluralidad de oferentes cuando hubo una sola propuesta; y fecha la suscripción del contrato el 9 de octubre de 2025, cuando la póliza, el formato de supervisión y el RP indican el 7 de octubre. Si no se ajusta, es preferible no anexarla: este oficio es la respuesta.</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5.</w:t>
        <w:tab/>
      </w:r>
      <w:r>
        <w:rPr>
          <w:rFonts w:ascii="Times New Roman" w:eastAsia="Arial" w:hAnsi="Times New Roman" w:cs="Times New Roman"/>
          <w:sz w:val="24"/>
          <w:szCs w:val="24"/>
          <w:lang w:val="es-CO"/>
        </w:rPr>
        <w:t xml:space="preserve">CDP N° 1329 y RP del 7 de octubre de 2025.</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6.</w:t>
        <w:tab/>
      </w:r>
      <w:r>
        <w:rPr>
          <w:rFonts w:ascii="Times New Roman" w:eastAsia="Arial" w:hAnsi="Times New Roman" w:cs="Times New Roman"/>
          <w:sz w:val="24"/>
          <w:szCs w:val="24"/>
          <w:lang w:val="es-CO"/>
        </w:rPr>
        <w:t xml:space="preserve">Designación de la supervisora del 7 de octubre de 2025.</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7.</w:t>
        <w:tab/>
      </w:r>
      <w:r>
        <w:rPr>
          <w:rFonts w:ascii="Times New Roman" w:eastAsia="Arial" w:hAnsi="Times New Roman" w:cs="Times New Roman"/>
          <w:sz w:val="24"/>
          <w:szCs w:val="24"/>
          <w:lang w:val="es-CO"/>
        </w:rPr>
        <w:t xml:space="preserve">Póliza N° 460-47-994000091804 de Aseguradora Solidaria de Colombia y acta de aprobación de pólizas del 9 de octubre de 2025.</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8.</w:t>
        <w:tab/>
      </w:r>
      <w:r>
        <w:rPr>
          <w:rFonts w:ascii="Times New Roman" w:eastAsia="Arial" w:hAnsi="Times New Roman" w:cs="Times New Roman"/>
          <w:sz w:val="24"/>
          <w:szCs w:val="24"/>
          <w:lang w:val="es-CO"/>
        </w:rPr>
        <w:t xml:space="preserve">Factura FE-2920, comprobante FCAF-53, acta de recibo final y comprobante de egreso.</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9.</w:t>
        <w:tab/>
      </w:r>
      <w:r>
        <w:rPr>
          <w:rFonts w:ascii="Times New Roman" w:eastAsia="Arial" w:hAnsi="Times New Roman" w:cs="Times New Roman"/>
          <w:sz w:val="24"/>
          <w:szCs w:val="24"/>
          <w:lang w:val="es-CO"/>
        </w:rPr>
        <w:t xml:space="preserve">Relación de equipos con seriales y sede de destino.</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10.</w:t>
        <w:tab/>
      </w:r>
      <w:r>
        <w:rPr>
          <w:rFonts w:ascii="Times New Roman" w:eastAsia="Arial" w:hAnsi="Times New Roman" w:cs="Times New Roman"/>
          <w:sz w:val="24"/>
          <w:szCs w:val="24"/>
          <w:lang w:val="es-CO"/>
        </w:rPr>
        <w:t xml:space="preserve">Solicitud de subsanación del 2 de octubre de 2026, constancia del 5 de octubre de 2026 y formato de supervisión complementario.</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11.</w:t>
        <w:tab/>
      </w:r>
      <w:r>
        <w:rPr>
          <w:rFonts w:ascii="Times New Roman" w:eastAsia="Arial" w:hAnsi="Times New Roman" w:cs="Times New Roman"/>
          <w:sz w:val="24"/>
          <w:szCs w:val="24"/>
          <w:lang w:val="es-CO"/>
        </w:rPr>
        <w:t xml:space="preserve">Comunicación de la Gerente del 5 de octubre de 2026 sobre el comprobante de egreso CE-10343 del Contrato N° 1058 de 2025 y, en su parte final, sobre los descuentos de estampillas del Contrato N° 983 de 2025.</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highlight w:val="yellow"/>
          <w:sz w:val="24"/>
          <w:szCs w:val="24"/>
          <w:lang w:val="es-CO"/>
        </w:rPr>
        <w:t xml:space="preserve">Nota de trabajo, retirar antes de radicar: ya están en la carpeta los anexos 3, 4, 7, 10 y 11; faltan los anexos 1, 2, 5, 6, 8 y 9. Verificar que existan y se anexen.</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Síntesis</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Las observaciones recaen sobre aspectos formales de los documentos del expediente y no sobre el resultado de la gestión fiscal: la entidad adquirió la dotación informática que necesitaba, por un valor inferior al presupuesto estimado, con respaldo presupuestal previo al compromiso; los bienes ingresaron al almacén, fueron recibidos y están al servicio de los Equipos Básicos en Salud, y se pagó exactamente el valor pactado. Con fundamento en lo anterior, la entidad considera que las situaciones advertidas no comportan detrimento al patrimonio público en los términos del artículo 6 de la Ley 610 de 2000, modificado por el artículo 126 del Decreto Ley 403 de 2020, y tienen carácter administrativo. La ordenadora del gasto actuó con base en las certificaciones de la supervisión, del almacén y del área de presupuesto, y las imprecisiones advertidas fueron aclaradas o corregidas por la entidad durante el proceso auditor, en atención a las observaciones del equipo auditor y antes del informe preliminar, lo que solicita se valore como beneficio del control fiscal. Los asuntos que dependen de terceros, la corrección del formato de rendición y la liquidación de los descuentos departamentales, están en trámite en los términos indicados.</w:t>
      </w:r>
    </w:p>
    <w:p>
      <w:pPr>
        <w:keepNext/>
        <w:spacing w:before="24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b/>
          <w:bCs/>
          <w:sz w:val="24"/>
          <w:szCs w:val="24"/>
          <w:lang w:val="es-CO"/>
        </w:rPr>
        <w:t xml:space="preserve">II. Contrato de Suministro N° 1058 de 2025 (material médico quirúrgico y de laboratorio, COHOSAN)</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Antecedentes</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El contrato tuvo por objeto el suministro de material médico quirúrgico y de laboratorio para la red hospitalaria. Se celebró con la Cooperativa de Hospitales de Santander y el Nororiente Colombiano, COHOSAN, NIT 804.009.200-4, </w:t>
      </w:r>
      <w:r>
        <w:rPr>
          <w:rFonts w:ascii="Times New Roman" w:eastAsia="Arial" w:hAnsi="Times New Roman" w:cs="Times New Roman"/>
          <w:highlight w:val="yellow"/>
          <w:sz w:val="24"/>
          <w:szCs w:val="24"/>
          <w:lang w:val="es-CO"/>
        </w:rPr>
        <w:t xml:space="preserve">de la que la E.S.E. es asociada,</w:t>
      </w:r>
      <w:r>
        <w:rPr>
          <w:rFonts w:ascii="Times New Roman" w:eastAsia="Arial" w:hAnsi="Times New Roman" w:cs="Times New Roman"/>
          <w:sz w:val="24"/>
          <w:szCs w:val="24"/>
          <w:lang w:val="es-CO"/>
        </w:rPr>
        <w:t xml:space="preserve"> por $40.000.000, mediante contratación directa por las causales del Manual de Contratación para contratos con cooperativas asociadas y para el suministro de medicamentos, elementos hospitalarios y de laboratorio. CDP N° 1586 del 5 de diciembre de 2025 y RP N° 1585 del 11 de diciembre de 2025, rubros 2.4.5.01.04.02 ($15.000.000) y 2.4.5.01.04.03 ($25.000.000). Acta de inicio del 15 de diciembre de 2025, plazo máximo de veintiún días; quince facturas del 15 y 16 de diciembre; acta de recibo final y de liquidación del 30 de diciembre de 2025 por $39.998.124, con liberación de $1.876; egreso CE-10343 del 30 de diciembre de 2025, girado el 13 de enero de 2026 por $38.259.480.</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Respuesta a las observaciones</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w:t>
        <w:tab/>
      </w:r>
      <w:r>
        <w:rPr>
          <w:rFonts w:ascii="Times New Roman" w:eastAsia="Arial" w:hAnsi="Times New Roman" w:cs="Times New Roman"/>
          <w:sz w:val="24"/>
          <w:szCs w:val="24"/>
          <w:lang w:val="es-CO"/>
        </w:rPr>
        <w:t xml:space="preserve">Modalidad y formato de rendición. El contrato se celebró por contratación directa con fundamento en las causales del Manual </w:t>
      </w:r>
      <w:r>
        <w:rPr>
          <w:rFonts w:ascii="Times New Roman" w:eastAsia="Arial" w:hAnsi="Times New Roman" w:cs="Times New Roman"/>
          <w:highlight w:val="yellow"/>
          <w:sz w:val="24"/>
          <w:szCs w:val="24"/>
          <w:lang w:val="es-CO"/>
        </w:rPr>
        <w:t xml:space="preserve">numerales, confirmar numeración vigente</w:t>
      </w:r>
      <w:r>
        <w:rPr>
          <w:rFonts w:ascii="Times New Roman" w:eastAsia="Arial" w:hAnsi="Times New Roman" w:cs="Times New Roman"/>
          <w:sz w:val="24"/>
          <w:szCs w:val="24"/>
          <w:lang w:val="es-CO"/>
        </w:rPr>
        <w:t xml:space="preserve">, procedente aunque el valor esté en el rango de la mínima cuantía. La expresión "invitación directa por régimen especial" del acta de liquidación es un error mecanográfico corregido en el acta aclaratoria. En el formato de rendición, "SIN OFERTAS" corresponde, según lo entiende la entidad, a la opción para contratos sin convocatoria; el rubro, el plazo de veinte días y la fecha de terminación sí son errores. Se solicita al equipo auditor indicar el procedimiento para corregir el formato, si a ello hubiere lugar, el cual la entidad atenderá de inmediato. Se anexa la comunicación sobre la Inconsistencia N° 8 con el CDP y el RP.</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b)</w:t>
        <w:tab/>
      </w:r>
      <w:r>
        <w:rPr>
          <w:rFonts w:ascii="Times New Roman" w:eastAsia="Arial" w:hAnsi="Times New Roman" w:cs="Times New Roman"/>
          <w:sz w:val="24"/>
          <w:szCs w:val="24"/>
          <w:lang w:val="es-CO"/>
        </w:rPr>
        <w:t xml:space="preserve">Estudio previo. La cita del Acuerdo 026 de 2022, la discordancia entre letras y números, la matriz de riesgos y el plazo al 31 de diciembre son residuos de plantilla ya aclarados el 29 de septiembre. La necesidad se acredita con el ingreso, el recibo y los kardex. Como mejora, los estudios previos de suministro incluirán cantidades y precios por ítem.</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c)</w:t>
        <w:tab/>
      </w:r>
      <w:r>
        <w:rPr>
          <w:rFonts w:ascii="Times New Roman" w:eastAsia="Arial" w:hAnsi="Times New Roman" w:cs="Times New Roman"/>
          <w:sz w:val="24"/>
          <w:szCs w:val="24"/>
          <w:lang w:val="es-CO"/>
        </w:rPr>
        <w:t xml:space="preserve">Minuta del contrato. Las menciones a insumos farmacéuticos, odontología, equipos, Decreto 734 de 2012 y prestación de servicios provienen de plantillas. El acta aclaratoria precisa que se trata de un contrato de suministro de material médico quirúrgico y de laboratorio, regido por el derecho privado y el Manual, sin alterar objeto, valor ni demás cláusulas. </w:t>
      </w:r>
      <w:r>
        <w:rPr>
          <w:rFonts w:ascii="Times New Roman" w:eastAsia="Arial" w:hAnsi="Times New Roman" w:cs="Times New Roman"/>
          <w:highlight w:val="yellow"/>
          <w:sz w:val="24"/>
          <w:szCs w:val="24"/>
          <w:lang w:val="es-CO"/>
        </w:rPr>
        <w:t xml:space="preserve">Antes de anexarla, corregir sus cláusulas segunda y tercera, y fecharla y firmarla en 2026.</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d)</w:t>
        <w:tab/>
      </w:r>
      <w:r>
        <w:rPr>
          <w:rFonts w:ascii="Times New Roman" w:eastAsia="Arial" w:hAnsi="Times New Roman" w:cs="Times New Roman"/>
          <w:sz w:val="24"/>
          <w:szCs w:val="24"/>
          <w:lang w:val="es-CO"/>
        </w:rPr>
        <w:t xml:space="preserve">Garantía. Se anexa la garantía N° 4416662 de Seguros Generales Suramericana S.A. del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con amparos de </w:t>
      </w:r>
      <w:r>
        <w:rPr>
          <w:rFonts w:ascii="Times New Roman" w:eastAsia="Arial" w:hAnsi="Times New Roman" w:cs="Times New Roman"/>
          <w:highlight w:val="yellow"/>
          <w:sz w:val="24"/>
          <w:szCs w:val="24"/>
          <w:lang w:val="es-CO"/>
        </w:rPr>
        <w:t xml:space="preserve">denominación</w:t>
      </w:r>
      <w:r>
        <w:rPr>
          <w:rFonts w:ascii="Times New Roman" w:eastAsia="Arial" w:hAnsi="Times New Roman" w:cs="Times New Roman"/>
          <w:sz w:val="24"/>
          <w:szCs w:val="24"/>
          <w:lang w:val="es-CO"/>
        </w:rPr>
        <w:t xml:space="preserve"> por $4.000.000 cada uno y vigencia </w:t>
      </w:r>
      <w:r>
        <w:rPr>
          <w:rFonts w:ascii="Times New Roman" w:eastAsia="Arial" w:hAnsi="Times New Roman" w:cs="Times New Roman"/>
          <w:highlight w:val="yellow"/>
          <w:sz w:val="24"/>
          <w:szCs w:val="24"/>
          <w:lang w:val="es-CO"/>
        </w:rPr>
        <w:t xml:space="preserve">fechas</w:t>
      </w:r>
      <w:r>
        <w:rPr>
          <w:rFonts w:ascii="Times New Roman" w:eastAsia="Arial" w:hAnsi="Times New Roman" w:cs="Times New Roman"/>
          <w:sz w:val="24"/>
          <w:szCs w:val="24"/>
          <w:lang w:val="es-CO"/>
        </w:rPr>
        <w:t xml:space="preserve">, y su acta de aprobación del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w:t>
        <w:tab/>
      </w:r>
      <w:r>
        <w:rPr>
          <w:rFonts w:ascii="Times New Roman" w:eastAsia="Arial" w:hAnsi="Times New Roman" w:cs="Times New Roman"/>
          <w:sz w:val="24"/>
          <w:szCs w:val="24"/>
          <w:lang w:val="es-CO"/>
        </w:rPr>
        <w:t xml:space="preserve">Egreso CE-10343 y descuentos. El concepto del comprobante fue corregido por fe de erratas; su valor bruto, $39.998.124, y las quince facturas lo identifican con este contrato. Se practicó retención de IVA del 15% ($69.711); no se retuvo renta porque la cooperativa pertenece al régimen tributario especial (E.T., artículo 19-4) </w:t>
      </w:r>
      <w:r>
        <w:rPr>
          <w:rFonts w:ascii="Times New Roman" w:eastAsia="Arial" w:hAnsi="Times New Roman" w:cs="Times New Roman"/>
          <w:highlight w:val="yellow"/>
          <w:sz w:val="24"/>
          <w:szCs w:val="24"/>
          <w:lang w:val="es-CO"/>
        </w:rPr>
        <w:t xml:space="preserve">anexar RUT</w:t>
      </w:r>
      <w:r>
        <w:rPr>
          <w:rFonts w:ascii="Times New Roman" w:eastAsia="Arial" w:hAnsi="Times New Roman" w:cs="Times New Roman"/>
          <w:sz w:val="24"/>
          <w:szCs w:val="24"/>
          <w:lang w:val="es-CO"/>
        </w:rPr>
        <w:t xml:space="preserve">. La estampilla Pro-Hospital ($741.748) y la Tasa Prodeporte ($927.185) se liquidaron sobre la base excluida de IVA. Con posterioridad al pago, al revisar el Estatuto de Rentas del Departamento (Ordenanza 018 de 2025, artículo 340, numeral 4), la entidad advirtió que esa norma excluye de las estampillas departamentales </w:t>
      </w:r>
      <w:r>
        <w:rPr>
          <w:rFonts w:ascii="Times New Roman" w:eastAsia="Arial" w:hAnsi="Times New Roman" w:cs="Times New Roman"/>
          <w:highlight w:val="yellow"/>
          <w:sz w:val="24"/>
          <w:szCs w:val="24"/>
          <w:lang w:val="es-CO"/>
        </w:rPr>
        <w:t xml:space="preserve">transcribir el supuesto exacto del numeral 4</w:t>
      </w:r>
      <w:r>
        <w:rPr>
          <w:rFonts w:ascii="Times New Roman" w:eastAsia="Arial" w:hAnsi="Times New Roman" w:cs="Times New Roman"/>
          <w:sz w:val="24"/>
          <w:szCs w:val="24"/>
          <w:lang w:val="es-CO"/>
        </w:rPr>
        <w:t xml:space="preserve">, supuesto en el que podría encuadrar este suministro para la red hospitalaria. Como la exclusión no se extiende por sí misma a la Tasa Prodeporte y Recreación, tributo distinto regulado por la Ley 2023 de 2020, la entidad solicitó concepto a la Secretaría de Hacienda departamental </w:t>
      </w:r>
      <w:r>
        <w:rPr>
          <w:rFonts w:ascii="Times New Roman" w:eastAsia="Arial" w:hAnsi="Times New Roman" w:cs="Times New Roman"/>
          <w:highlight w:val="yellow"/>
          <w:sz w:val="24"/>
          <w:szCs w:val="24"/>
          <w:lang w:val="es-CO"/>
        </w:rPr>
        <w:t xml:space="preserve">fecha y radicado; una sola consulta para los contratos 983 y 1058</w:t>
      </w:r>
      <w:r>
        <w:rPr>
          <w:rFonts w:ascii="Times New Roman" w:eastAsia="Arial" w:hAnsi="Times New Roman" w:cs="Times New Roman"/>
          <w:sz w:val="24"/>
          <w:szCs w:val="24"/>
          <w:lang w:val="es-CO"/>
        </w:rPr>
        <w:t xml:space="preserve"> sobre el alcance de la exclusión y somete el punto a consideración del equipo auditor. Los valores descontados </w:t>
      </w:r>
      <w:r>
        <w:rPr>
          <w:rFonts w:ascii="Times New Roman" w:eastAsia="Arial" w:hAnsi="Times New Roman" w:cs="Times New Roman"/>
          <w:highlight w:val="yellow"/>
          <w:sz w:val="24"/>
          <w:szCs w:val="24"/>
          <w:lang w:val="es-CO"/>
        </w:rPr>
        <w:t xml:space="preserve">fueron trasladados al Departamento el (fecha) / permanecen en la entidad</w:t>
      </w:r>
      <w:r>
        <w:rPr>
          <w:rFonts w:ascii="Times New Roman" w:eastAsia="Arial" w:hAnsi="Times New Roman" w:cs="Times New Roman"/>
          <w:sz w:val="24"/>
          <w:szCs w:val="24"/>
          <w:lang w:val="es-CO"/>
        </w:rPr>
        <w:t xml:space="preserve">; según el concepto, la entidad trasladará al Departamento o reintegrará a la cooperativa las diferencias que resulten e informará de ello al equipo auditor.</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f)</w:t>
        <w:tab/>
      </w:r>
      <w:r>
        <w:rPr>
          <w:rFonts w:ascii="Times New Roman" w:eastAsia="Arial" w:hAnsi="Times New Roman" w:cs="Times New Roman"/>
          <w:sz w:val="24"/>
          <w:szCs w:val="24"/>
          <w:lang w:val="es-CO"/>
        </w:rPr>
        <w:t xml:space="preserve">Facturas y comprobantes de entrada. Se anexan las quince facturas FVE-124898 a FVE-125023 y los comprobantes FCF-1064 a FCF-1078, por $39.998.124 en total, detallados en la comunicación del 5 de octubre de 2026. "FVE1224926" es un error tipográfico por FVE-124926, corregido en el acta aclaratoria. </w:t>
      </w:r>
      <w:r>
        <w:rPr>
          <w:rFonts w:ascii="Times New Roman" w:eastAsia="Arial" w:hAnsi="Times New Roman" w:cs="Times New Roman"/>
          <w:highlight w:val="yellow"/>
          <w:sz w:val="24"/>
          <w:szCs w:val="24"/>
          <w:lang w:val="es-CO"/>
        </w:rPr>
        <w:t xml:space="preserve">Si se anexan los comprobantes, advertir el ajuste del FCF-1076 y la fecha del FCF-1070.</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g)</w:t>
        <w:tab/>
      </w:r>
      <w:r>
        <w:rPr>
          <w:rFonts w:ascii="Times New Roman" w:eastAsia="Arial" w:hAnsi="Times New Roman" w:cs="Times New Roman"/>
          <w:sz w:val="24"/>
          <w:szCs w:val="24"/>
          <w:lang w:val="es-CO"/>
        </w:rPr>
        <w:t xml:space="preserve">Informes de actividades y de supervisión; seguridad social. Los errores del formato de supervisión se aclararon el 29 de septiembre (inicio 15 de diciembre; CDP 1586; RP 1585; valor $39.998.124; sede Gramalote). Se precisa que la acreditación de aportes sí aplica y se cumplió con la certificación del revisor fiscal del 1 de diciembre de 2025 y las planillas de noviembre y diciembre, que se anexan.</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h)</w:t>
        <w:tab/>
      </w:r>
      <w:r>
        <w:rPr>
          <w:rFonts w:ascii="Times New Roman" w:eastAsia="Arial" w:hAnsi="Times New Roman" w:cs="Times New Roman"/>
          <w:sz w:val="24"/>
          <w:szCs w:val="24"/>
          <w:lang w:val="es-CO"/>
        </w:rPr>
        <w:t xml:space="preserve">Plazo. Veintiún días desde el 15 de diciembre de 2025; entregas el 15 y 16 de diciembre; recibo y liquidación el 30 de diciembre, dentro de la vigencia. Los "dieciséis días" del acta de liquidación son los días transcurridos, no el plazo pactado. El giro del 13 de enero de 2026 se hizo con cargo a las cuentas por pagar de la vigencia </w:t>
      </w:r>
      <w:r>
        <w:rPr>
          <w:rFonts w:ascii="Times New Roman" w:eastAsia="Arial" w:hAnsi="Times New Roman" w:cs="Times New Roman"/>
          <w:highlight w:val="yellow"/>
          <w:sz w:val="24"/>
          <w:szCs w:val="24"/>
          <w:lang w:val="es-CO"/>
        </w:rPr>
        <w:t xml:space="preserve">anexar relación; si no existe, suprimir</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i)</w:t>
        <w:tab/>
      </w:r>
      <w:r>
        <w:rPr>
          <w:rFonts w:ascii="Times New Roman" w:eastAsia="Arial" w:hAnsi="Times New Roman" w:cs="Times New Roman"/>
          <w:sz w:val="24"/>
          <w:szCs w:val="24"/>
          <w:lang w:val="es-CO"/>
        </w:rPr>
        <w:t xml:space="preserve">Referencias erróneas en los documentos de pago. Las citas a los contratos 1085 y 1052, al RP 1323, al CDP 1574 y al rubro 2.4.5.01.02.01 son residuos de plantilla corregidos por la fe de erratas. Los únicos del contrato son el CDP 1586, el RP 1585 y los rubros 2.4.5.01.04.02 y 2.4.5.01.04.03; el saldo liberado, $1.876, coincide con el acta de liquidación. Se anexa certificación financiera y presupuestal </w:t>
      </w:r>
      <w:r>
        <w:rPr>
          <w:rFonts w:ascii="Times New Roman" w:eastAsia="Arial" w:hAnsi="Times New Roman" w:cs="Times New Roman"/>
          <w:highlight w:val="yellow"/>
          <w:sz w:val="24"/>
          <w:szCs w:val="24"/>
          <w:lang w:val="es-CO"/>
        </w:rPr>
        <w:t xml:space="preserve">reexpedir con fecha de 2026 y sin la expresión "variación en la afectación entre subrubros"</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j)</w:t>
        <w:tab/>
      </w:r>
      <w:r>
        <w:rPr>
          <w:rFonts w:ascii="Times New Roman" w:eastAsia="Arial" w:hAnsi="Times New Roman" w:cs="Times New Roman"/>
          <w:sz w:val="24"/>
          <w:szCs w:val="24"/>
          <w:lang w:val="es-CO"/>
        </w:rPr>
        <w:t xml:space="preserve">Medicamentos e imputación entre rubros. Se recibieron Alacramyn (diez viales, $7.397.310), lactato de Ringer ($106.998) y agua estéril ($4.160), total $7.508.468, para el servicio de urgencias; ingresaron al almacén y se consumieron según los kardex. La causal del Manual que amparó la contratación comprende el suministro de medicamentos, de modo que proveedor y modalidad eran los mismos; no hay daño patrimonial y la deficiencia es que el objeto no los describió. Ningún rubro se excedió ($14.999.647 de $15.000.000 y $24.998.477 de $25.000.000), sin traslados; la entidad reconoce una deficiencia de clasificación por $4.368.205 de laboratorio cargados a material médico quirúrgico. Como mejora, los estudios previos delimitarán objeto y rubro por tipo de bien.</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k)</w:t>
        <w:tab/>
      </w:r>
      <w:r>
        <w:rPr>
          <w:rFonts w:ascii="Times New Roman" w:eastAsia="Arial" w:hAnsi="Times New Roman" w:cs="Times New Roman"/>
          <w:sz w:val="24"/>
          <w:szCs w:val="24"/>
          <w:lang w:val="es-CO"/>
        </w:rPr>
        <w:t xml:space="preserve">Acta de recibo final y registro fotográfico. Se anexa el acta del 30 de diciembre de 2025, que relaciona todos los ítems por factura; sus residuos de formato se corrigen en el acta aclaratoria </w:t>
      </w:r>
      <w:r>
        <w:rPr>
          <w:rFonts w:ascii="Times New Roman" w:eastAsia="Arial" w:hAnsi="Times New Roman" w:cs="Times New Roman"/>
          <w:highlight w:val="yellow"/>
          <w:sz w:val="24"/>
          <w:szCs w:val="24"/>
          <w:lang w:val="es-CO"/>
        </w:rPr>
        <w:t xml:space="preserve">extenderla al acta de recibo final</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Registro fotográfico: anexar si existe; si no, indicar que la entrega se acredita con ingresos, kardex y acta.</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Anexos del capítulo</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1.</w:t>
        <w:tab/>
      </w:r>
      <w:r>
        <w:rPr>
          <w:rFonts w:ascii="Times New Roman" w:eastAsia="Arial" w:hAnsi="Times New Roman" w:cs="Times New Roman"/>
          <w:sz w:val="24"/>
          <w:szCs w:val="24"/>
          <w:lang w:val="es-CO"/>
        </w:rPr>
        <w:t xml:space="preserve">Acta aclaratoria al contrato y acta aclaratoria al acta de liquidación y de recibo final.</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2.</w:t>
        <w:tab/>
      </w:r>
      <w:r>
        <w:rPr>
          <w:rFonts w:ascii="Times New Roman" w:eastAsia="Arial" w:hAnsi="Times New Roman" w:cs="Times New Roman"/>
          <w:sz w:val="24"/>
          <w:szCs w:val="24"/>
          <w:lang w:val="es-CO"/>
        </w:rPr>
        <w:t xml:space="preserve">Comunicación y certificación sobre la Inconsistencia N° 8, con CDP N° 1586 y RP N° 1585.</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3.</w:t>
        <w:tab/>
      </w:r>
      <w:r>
        <w:rPr>
          <w:rFonts w:ascii="Times New Roman" w:eastAsia="Arial" w:hAnsi="Times New Roman" w:cs="Times New Roman"/>
          <w:sz w:val="24"/>
          <w:szCs w:val="24"/>
          <w:lang w:val="es-CO"/>
        </w:rPr>
        <w:t xml:space="preserve">Certificación financiera y presupuestal de la Subgerente Administrativa y Financiera.</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4.</w:t>
        <w:tab/>
      </w:r>
      <w:r>
        <w:rPr>
          <w:rFonts w:ascii="Times New Roman" w:eastAsia="Arial" w:hAnsi="Times New Roman" w:cs="Times New Roman"/>
          <w:sz w:val="24"/>
          <w:szCs w:val="24"/>
          <w:lang w:val="es-CO"/>
        </w:rPr>
        <w:t xml:space="preserve">Justificación técnica, asistencial y presupuestal, con los tres kardex.</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5.</w:t>
        <w:tab/>
      </w:r>
      <w:r>
        <w:rPr>
          <w:rFonts w:ascii="Times New Roman" w:eastAsia="Arial" w:hAnsi="Times New Roman" w:cs="Times New Roman"/>
          <w:sz w:val="24"/>
          <w:szCs w:val="24"/>
          <w:lang w:val="es-CO"/>
        </w:rPr>
        <w:t xml:space="preserve">Acta de recibo final del 30 de diciembre de 2025.</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6.</w:t>
        <w:tab/>
      </w:r>
      <w:r>
        <w:rPr>
          <w:rFonts w:ascii="Times New Roman" w:eastAsia="Arial" w:hAnsi="Times New Roman" w:cs="Times New Roman"/>
          <w:sz w:val="24"/>
          <w:szCs w:val="24"/>
          <w:lang w:val="es-CO"/>
        </w:rPr>
        <w:t xml:space="preserve">Garantía N° 4416662 y acta de aprobación.</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7.</w:t>
        <w:tab/>
      </w:r>
      <w:r>
        <w:rPr>
          <w:rFonts w:ascii="Times New Roman" w:eastAsia="Arial" w:hAnsi="Times New Roman" w:cs="Times New Roman"/>
          <w:sz w:val="24"/>
          <w:szCs w:val="24"/>
          <w:lang w:val="es-CO"/>
        </w:rPr>
        <w:t xml:space="preserve">Quince facturas FVE y quince comprobantes de ingreso FCF-1064 a FCF-1078.</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8.</w:t>
        <w:tab/>
      </w:r>
      <w:r>
        <w:rPr>
          <w:rFonts w:ascii="Times New Roman" w:eastAsia="Arial" w:hAnsi="Times New Roman" w:cs="Times New Roman"/>
          <w:sz w:val="24"/>
          <w:szCs w:val="24"/>
          <w:lang w:val="es-CO"/>
        </w:rPr>
        <w:t xml:space="preserve">Certificación del revisor fiscal de COHOSAN y planillas de noviembre y diciembre de 2025.</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9.</w:t>
        <w:tab/>
      </w:r>
      <w:r>
        <w:rPr>
          <w:rFonts w:ascii="Times New Roman" w:eastAsia="Arial" w:hAnsi="Times New Roman" w:cs="Times New Roman"/>
          <w:sz w:val="24"/>
          <w:szCs w:val="24"/>
          <w:lang w:val="es-CO"/>
        </w:rPr>
        <w:t xml:space="preserve">Comunicación de la Gerente del 5 de octubre de 2026 sobre el comprobante de egreso CE-10343 del Contrato N° 1058 de 2025 y, en su parte final, sobre los descuentos de estampillas del Contrato N° 983 de 2025, con el comprobante y la fe de erratas.</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10.</w:t>
        <w:tab/>
      </w:r>
      <w:r>
        <w:rPr>
          <w:rFonts w:ascii="Times New Roman" w:eastAsia="Arial" w:hAnsi="Times New Roman" w:cs="Times New Roman"/>
          <w:sz w:val="24"/>
          <w:szCs w:val="24"/>
          <w:lang w:val="es-CO"/>
        </w:rPr>
        <w:t xml:space="preserve">Certificado de asociación, certificado de existencia y representación y RUT de COHOSAN.</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highlight w:val="yellow"/>
          <w:sz w:val="24"/>
          <w:szCs w:val="24"/>
          <w:lang w:val="es-CO"/>
        </w:rPr>
        <w:t xml:space="preserve">Nota de trabajo, retirar antes de radicar: los anexos 6, 7, 8 y 10 no están en la carpeta compartida; el 1 y el 3 deben corregirse y fecharse en 2026; el 2 debe depurarse (residuos "[cite]" y numeral 4).</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Síntesis</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Las observaciones recaen sobre aspectos formales de los documentos del expediente y sobre la descripción del objeto, no sobre el resultado de la gestión fiscal: los bienes fueron facturados, ingresaron al almacén, se recibieron a satisfacción y se consumieron en la prestación del servicio dentro de la vigencia; se pagó exactamente el valor recibido, $39.998.124, sin exceder ninguno de los dos rubros del registro presupuestal, y el saldo se liberó. Con fundamento en lo anterior, la entidad considera que las situaciones advertidas no comportan detrimento al patrimonio público en los términos del artículo 6 de la Ley 610 de 2000, modificado por el artículo 126 del Decreto Ley 403 de 2020, y tienen carácter administrativo. La ordenadora del gasto actuó con base en las certificaciones de la supervisión, del almacén y del área de presupuesto, y las imprecisiones advertidas fueron aclaradas o corregidas por la entidad durante el proceso auditor, en atención a las observaciones del equipo auditor y antes del informe preliminar, lo que solicita se valore como beneficio del control fiscal. Los asuntos que dependen de terceros, la corrección del formato de rendición y la definición de los descuentos departamentales, están en trámite en los términos indicados.</w:t>
      </w:r>
    </w:p>
    <w:p>
      <w:pPr>
        <w:keepNext/>
        <w:spacing w:before="24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b/>
          <w:bCs/>
          <w:sz w:val="24"/>
          <w:szCs w:val="24"/>
          <w:lang w:val="es-CO"/>
        </w:rPr>
        <w:t xml:space="preserve">III. Contrato de Compraventa N° 1056 de 2025 (ambulancia básica, Import Medical Supplies S.A.S.)</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Antecedentes</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El contrato se celebró el 16 de diciembre de 2025 con Import Medical Supplies S.A.S., NIT 900.848.658-0, por $285.781.351, para la adquisición y dotación de una ambulancia de transporte asistencial básico para el servicio de salud que la E.S.E. presta en el municipio de San Cayetano, con recursos de la Resolución 1947 de 2025 del Ministerio de Salud y Protección Social y recursos propios </w:t>
      </w:r>
      <w:r>
        <w:rPr>
          <w:rFonts w:ascii="Times New Roman" w:eastAsia="Arial" w:hAnsi="Times New Roman" w:cs="Times New Roman"/>
          <w:highlight w:val="yellow"/>
          <w:sz w:val="24"/>
          <w:szCs w:val="24"/>
          <w:lang w:val="es-CO"/>
        </w:rPr>
        <w:t xml:space="preserve">CDP y RP, números y fechas</w:t>
      </w:r>
      <w:r>
        <w:rPr>
          <w:rFonts w:ascii="Times New Roman" w:eastAsia="Arial" w:hAnsi="Times New Roman" w:cs="Times New Roman"/>
          <w:sz w:val="24"/>
          <w:szCs w:val="24"/>
          <w:lang w:val="es-CO"/>
        </w:rPr>
        <w:t xml:space="preserve">. El pago único pactado en la cláusula sexta se efectuó el 26 de diciembre de 2025 (comprobantes de egreso CE-10213 y CE-10217), con la factura FEI2168, que identifica el automotor por VIN y motor, el registro fotográfico y el informe de supervisión del periodo </w:t>
      </w:r>
      <w:r>
        <w:rPr>
          <w:rFonts w:ascii="Times New Roman" w:eastAsia="Arial" w:hAnsi="Times New Roman" w:cs="Times New Roman"/>
          <w:highlight w:val="yellow"/>
          <w:sz w:val="24"/>
          <w:szCs w:val="24"/>
          <w:lang w:val="es-CO"/>
        </w:rPr>
        <w:t xml:space="preserve">confirmar en la cláusula sexta los soportes pactados para el pago; si la Resolución 1947 de 2025 fija plazo de ejecución de los recursos, añadir: "dentro del plazo de ejecución fijado por el artículo __ de la Resolución 1947 de 2025"</w:t>
      </w:r>
      <w:r>
        <w:rPr>
          <w:rFonts w:ascii="Times New Roman" w:eastAsia="Arial" w:hAnsi="Times New Roman" w:cs="Times New Roman"/>
          <w:sz w:val="24"/>
          <w:szCs w:val="24"/>
          <w:lang w:val="es-CO"/>
        </w:rPr>
        <w:t xml:space="preserve">. La entrega del vehículo con su dotación se verificó el 16 de enero de 2026, los elementos pendientes se recibieron el 22 y la matrícula a nombre de la entidad se inscribió el 30 de enero de 2026, dentro del plazo contractual que vencía el 31 de enero de 2026.</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Respuesta a las observaciones</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w:t>
        <w:tab/>
      </w:r>
      <w:r>
        <w:rPr>
          <w:rFonts w:ascii="Times New Roman" w:eastAsia="Arial" w:hAnsi="Times New Roman" w:cs="Times New Roman"/>
          <w:sz w:val="24"/>
          <w:szCs w:val="24"/>
          <w:lang w:val="es-CO"/>
        </w:rPr>
        <w:t xml:space="preserve">Modalidad de contratación. El contrato se celebró por contratación directa con fundamento en el numeral </w:t>
      </w:r>
      <w:r>
        <w:rPr>
          <w:rFonts w:ascii="Times New Roman" w:eastAsia="Arial" w:hAnsi="Times New Roman" w:cs="Times New Roman"/>
          <w:highlight w:val="yellow"/>
          <w:sz w:val="24"/>
          <w:szCs w:val="24"/>
          <w:lang w:val="es-CO"/>
        </w:rPr>
        <w:t xml:space="preserve">30.2.10 o 29.2.10, según la versión del Manual vigente el 16 de diciembre de 2025: Resolución 002 de 2023, modificada por la Resolución 143 de 2025</w:t>
      </w:r>
      <w:r>
        <w:rPr>
          <w:rFonts w:ascii="Times New Roman" w:eastAsia="Arial" w:hAnsi="Times New Roman" w:cs="Times New Roman"/>
          <w:sz w:val="24"/>
          <w:szCs w:val="24"/>
          <w:lang w:val="es-CO"/>
        </w:rPr>
        <w:t xml:space="preserve"> del Manual de Contratación, que autoriza esa modalidad para </w:t>
      </w:r>
      <w:r>
        <w:rPr>
          <w:rFonts w:ascii="Times New Roman" w:eastAsia="Arial" w:hAnsi="Times New Roman" w:cs="Times New Roman"/>
          <w:highlight w:val="yellow"/>
          <w:sz w:val="24"/>
          <w:szCs w:val="24"/>
          <w:lang w:val="es-CO"/>
        </w:rPr>
        <w:t xml:space="preserve">transcribir literalmente la causal</w:t>
      </w:r>
      <w:r>
        <w:rPr>
          <w:rFonts w:ascii="Times New Roman" w:eastAsia="Arial" w:hAnsi="Times New Roman" w:cs="Times New Roman"/>
          <w:sz w:val="24"/>
          <w:szCs w:val="24"/>
          <w:lang w:val="es-CO"/>
        </w:rPr>
        <w:t xml:space="preserve">, supuesto que cumple la Resolución 1947 de 2025, que asignó los recursos con destinación específica </w:t>
      </w:r>
      <w:r>
        <w:rPr>
          <w:rFonts w:ascii="Times New Roman" w:eastAsia="Arial" w:hAnsi="Times New Roman" w:cs="Times New Roman"/>
          <w:highlight w:val="yellow"/>
          <w:sz w:val="24"/>
          <w:szCs w:val="24"/>
          <w:lang w:val="es-CO"/>
        </w:rPr>
        <w:t xml:space="preserve">y plazo de ejecución, citar</w:t>
      </w:r>
      <w:r>
        <w:rPr>
          <w:rFonts w:ascii="Times New Roman" w:eastAsia="Arial" w:hAnsi="Times New Roman" w:cs="Times New Roman"/>
          <w:sz w:val="24"/>
          <w:szCs w:val="24"/>
          <w:lang w:val="es-CO"/>
        </w:rPr>
        <w:t xml:space="preserve">. El Manual, expedido conforme a la Resolución 5185 de 2013 del Ministerio de Salud y Protección Social </w:t>
      </w:r>
      <w:r>
        <w:rPr>
          <w:rFonts w:ascii="Times New Roman" w:eastAsia="Arial" w:hAnsi="Times New Roman" w:cs="Times New Roman"/>
          <w:highlight w:val="yellow"/>
          <w:sz w:val="24"/>
          <w:szCs w:val="24"/>
          <w:lang w:val="es-CO"/>
        </w:rPr>
        <w:t xml:space="preserve">confirmar que el Manual la cita</w:t>
      </w:r>
      <w:r>
        <w:rPr>
          <w:rFonts w:ascii="Times New Roman" w:eastAsia="Arial" w:hAnsi="Times New Roman" w:cs="Times New Roman"/>
          <w:sz w:val="24"/>
          <w:szCs w:val="24"/>
          <w:lang w:val="es-CO"/>
        </w:rPr>
        <w:t xml:space="preserve">, permite la contratación directa cuando se configura una de sus causales, cualquiera sea la cuantía. La causal consta en la parte considerativa del contrato </w:t>
      </w:r>
      <w:r>
        <w:rPr>
          <w:rFonts w:ascii="Times New Roman" w:eastAsia="Arial" w:hAnsi="Times New Roman" w:cs="Times New Roman"/>
          <w:highlight w:val="yellow"/>
          <w:sz w:val="24"/>
          <w:szCs w:val="24"/>
          <w:lang w:val="es-CO"/>
        </w:rPr>
        <w:t xml:space="preserve">y en los estudios previos, si se confirma</w:t>
      </w:r>
      <w:r>
        <w:rPr>
          <w:rFonts w:ascii="Times New Roman" w:eastAsia="Arial" w:hAnsi="Times New Roman" w:cs="Times New Roman"/>
          <w:sz w:val="24"/>
          <w:szCs w:val="24"/>
          <w:lang w:val="es-CO"/>
        </w:rPr>
        <w:t xml:space="preserve">, y el valor se fijó con </w:t>
      </w:r>
      <w:r>
        <w:rPr>
          <w:rFonts w:ascii="Times New Roman" w:eastAsia="Arial" w:hAnsi="Times New Roman" w:cs="Times New Roman"/>
          <w:highlight w:val="yellow"/>
          <w:sz w:val="24"/>
          <w:szCs w:val="24"/>
          <w:lang w:val="es-CO"/>
        </w:rPr>
        <w:t xml:space="preserve">las cotizaciones / el estudio de mercado</w:t>
      </w:r>
      <w:r>
        <w:rPr>
          <w:rFonts w:ascii="Times New Roman" w:eastAsia="Arial" w:hAnsi="Times New Roman" w:cs="Times New Roman"/>
          <w:sz w:val="24"/>
          <w:szCs w:val="24"/>
          <w:lang w:val="es-CO"/>
        </w:rPr>
        <w:t xml:space="preserve"> de los estudios previos. Como acción de mejora, la entidad dejará en cada expediente un acto de justificación expreso de la modalidad.</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b)</w:t>
        <w:tab/>
      </w:r>
      <w:r>
        <w:rPr>
          <w:rFonts w:ascii="Times New Roman" w:eastAsia="Arial" w:hAnsi="Times New Roman" w:cs="Times New Roman"/>
          <w:sz w:val="24"/>
          <w:szCs w:val="24"/>
          <w:lang w:val="es-CO"/>
        </w:rPr>
        <w:t xml:space="preserve">Tradición del vehículo. La E.S.E. es propietaria inscrita de la ambulancia de placa NSX651, según la licencia de tránsito N° 10037693011, expedida el 30 de enero de 2026 a nombre de la E.S.E. Hospital Regional Centro, NIT 807.008.824, y la consulta del RUNT generada por la entidad 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que registra el vehículo activo, en servicio oficial, sin limitaciones a la propiedad, prenda ni embargo, con matrícula inicial del 9 de mayo de 2025 y los dos SOAT. La tradición del dominio de los automotores requiere la entrega material y la inscripción del título en el organismo de tránsito (Código de Comercio, artículo 922; Ley 769 de 2002, artículo 47); ambas se cumplieron a favor de la entidad el 16 y el 30 de enero de 2026, dentro del término legal. La inscripción del traspaso a favor de la E.S.E. constituye su título de propiedad, oponible a terceros, y agota la obligación de transferir el dominio a cargo de la contratista. </w:t>
      </w:r>
      <w:r>
        <w:rPr>
          <w:rFonts w:ascii="Times New Roman" w:eastAsia="Arial" w:hAnsi="Times New Roman" w:cs="Times New Roman"/>
          <w:highlight w:val="yellow"/>
          <w:sz w:val="24"/>
          <w:szCs w:val="24"/>
          <w:lang w:val="es-CO"/>
        </w:rPr>
        <w:t xml:space="preserve">Cadena de propietarios: redactar según el certificado de tradición solicitado al organismo de tránsito de Cáqueza el (fecha, radicado). Si la tradente fue la señora Colón: "Según el certificado de tradición del (fecha), el automotor fue matriculado el 9 de mayo de 2025 a nombre de la señora Virginia del Carmen Colón y traspasado a la E.S.E. el 30 de enero de 2026 mediante formulario suscrito por la propietaria inscrita, a instancia de la contratista vendedora; la tradición hecha por quien tenía el dominio inscrito es válida y eficaz a favor de la entidad (Código de Comercio, artículos 907 y 922)". Si Import Medical figura como propietaria intermedia, describir las tres inscripciones con fechas. Mientras no llegue el certificado: "La entidad solicitó el (fecha) al organismo de tránsito el certificado de tradición del vehículo, que remitirá al recibirlo".</w:t>
      </w:r>
      <w:r>
        <w:rPr>
          <w:rFonts w:ascii="Times New Roman" w:eastAsia="Arial" w:hAnsi="Times New Roman" w:cs="Times New Roman"/>
          <w:sz w:val="24"/>
          <w:szCs w:val="24"/>
          <w:lang w:val="es-CO"/>
        </w:rPr>
        <w:t xml:space="preserve"> A requerimiento de la entidad del 2 de octubre de 2026, la contratista aportó el 6 de octubre de 2026 su respuesta, con un contrato privado de compraventa celebrado con la primera propietaria y una consulta del RUNT, que se remiten en los términos recibidos. La entidad advierte que ese contrato privado aparece fechado el 29 de abril de 2025, fecha anterior a la matrícula inicial del 9 de mayo de 2025, pese a identificar el vehículo por la placa NSX651 asignada en esa matrícula, y que la respuesta de la contratista sitúa la venta con posterioridad a la matrícula; por ello requirió a la contratista el </w:t>
      </w:r>
      <w:r>
        <w:rPr>
          <w:rFonts w:ascii="Times New Roman" w:eastAsia="Arial" w:hAnsi="Times New Roman" w:cs="Times New Roman"/>
          <w:highlight w:val="yellow"/>
          <w:sz w:val="24"/>
          <w:szCs w:val="24"/>
          <w:lang w:val="es-CO"/>
        </w:rPr>
        <w:t xml:space="preserve">fecha, anterior a la de este oficio</w:t>
      </w:r>
      <w:r>
        <w:rPr>
          <w:rFonts w:ascii="Times New Roman" w:eastAsia="Arial" w:hAnsi="Times New Roman" w:cs="Times New Roman"/>
          <w:sz w:val="24"/>
          <w:szCs w:val="24"/>
          <w:lang w:val="es-CO"/>
        </w:rPr>
        <w:t xml:space="preserve"> la aclaración escrita de la fecha de ese documento </w:t>
      </w:r>
      <w:r>
        <w:rPr>
          <w:rFonts w:ascii="Times New Roman" w:eastAsia="Arial" w:hAnsi="Times New Roman" w:cs="Times New Roman"/>
          <w:highlight w:val="yellow"/>
          <w:sz w:val="24"/>
          <w:szCs w:val="24"/>
          <w:lang w:val="es-CO"/>
        </w:rPr>
        <w:t xml:space="preserve">y se anexa la aclaración recibida / y remitirá la respuesta al equipo auditor en cuanto la reciba</w:t>
      </w:r>
      <w:r>
        <w:rPr>
          <w:rFonts w:ascii="Times New Roman" w:eastAsia="Arial" w:hAnsi="Times New Roman" w:cs="Times New Roman"/>
          <w:sz w:val="24"/>
          <w:szCs w:val="24"/>
          <w:lang w:val="es-CO"/>
        </w:rPr>
        <w:t xml:space="preserve">. Esa inconsistencia, atribuible a la contratista, no afecta la titularidad de la E.S.E., que consta en el registro automotor.</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c)</w:t>
        <w:tab/>
      </w:r>
      <w:r>
        <w:rPr>
          <w:rFonts w:ascii="Times New Roman" w:eastAsia="Arial" w:hAnsi="Times New Roman" w:cs="Times New Roman"/>
          <w:sz w:val="24"/>
          <w:szCs w:val="24"/>
          <w:lang w:val="es-CO"/>
        </w:rPr>
        <w:t xml:space="preserve">Fecha de matrícula anterior al contrato. En su requerimiento del 2 de octubre de 2026 la entidad planteó a la contratista la hipótesis de un error de digitación en la licencia. Verificado el RUNT, la fecha "09/05/2025" no es un error: es la de la matrícula inicial del automotor, realizada por su primera propietaria, que se conserva en los traspasos; lo que cambia es el propietario y la fecha de expedición de la licencia, 30 de enero de 2026. La mención de aquel requerimiento a la "existencia del chasis" es inexacta: el chasis se facturó el 23 de enero de 2025, antes de la matrícula. Queda así descartada la hipótesis de error registral.</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d)</w:t>
        <w:tab/>
      </w:r>
      <w:r>
        <w:rPr>
          <w:rFonts w:ascii="Times New Roman" w:eastAsia="Arial" w:hAnsi="Times New Roman" w:cs="Times New Roman"/>
          <w:sz w:val="24"/>
          <w:szCs w:val="24"/>
          <w:lang w:val="es-CO"/>
        </w:rPr>
        <w:t xml:space="preserve">SOAT. El vehículo contó con seguro obligatorio sin solución de continuidad (Ley 769 de 2002, artículo 42): el SOAT N° 41686458 de Seguros Generales Suramericana S.A., expedido el 25 de abril de 2025 y vigente del 27 de abril de 2025 al 26 de abril de 2026, lo amparaba en la entrega (16 de enero de 2026) y en el traspaso (30 de enero de 2026), y el SOAT N° 43089245, expedido el 15 de abril de 2026, rige del 27 de abril de 2026 al 26 de abril de 2027. Así lo acredita la consulta del RUNT generada por la entidad, que se anexa </w:t>
      </w:r>
      <w:r>
        <w:rPr>
          <w:rFonts w:ascii="Times New Roman" w:eastAsia="Arial" w:hAnsi="Times New Roman" w:cs="Times New Roman"/>
          <w:highlight w:val="yellow"/>
          <w:sz w:val="24"/>
          <w:szCs w:val="24"/>
          <w:lang w:val="es-CO"/>
        </w:rPr>
        <w:t xml:space="preserve">si el alcance observa literalmente la ausencia del primer SOAT en el expediente, añadir: "la copia del SOAT N° 41686458 no reposaba en el expediente"</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Verificar quién tomó y pagó el SOAT 43089245. Si lo pagó la contratista: "El SOAT N° 43089245 fue adquirido por la contratista en cumplimiento de la cláusula décima primera, según el soporte que se anexa". Si lo pagó la E.S.E.: no afirmar cumplimiento de la cláusula; decir que la obligación de entregar el vehículo asegurado se cumplió con el SOAT vigente a la entrega y que la renovación anual corresponde al propietario, y evaluar si se exige el valor a la contratista.</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w:t>
        <w:tab/>
      </w:r>
      <w:r>
        <w:rPr>
          <w:rFonts w:ascii="Times New Roman" w:eastAsia="Arial" w:hAnsi="Times New Roman" w:cs="Times New Roman"/>
          <w:sz w:val="24"/>
          <w:szCs w:val="24"/>
          <w:lang w:val="es-CO"/>
        </w:rPr>
        <w:t xml:space="preserve">Lámpara desmontable. El ítem marcado "no cumple" en la lista de chequeo del 16 de enero de 2026 fue atendido el 22 de enero de 2026, dentro del plazo contractual, con una lámpara portátil con extensión, según el formato PL-FO-13 suscrito por el Líder de Almacén, que la registra como "cumple" y "nueva", con registro fotográfico, y que se anexa. Como ese formato no consigna el concepto de recibo ni la firma de la supervisora, la supervisora verificó el elemento el </w:t>
      </w:r>
      <w:r>
        <w:rPr>
          <w:rFonts w:ascii="Times New Roman" w:eastAsia="Arial" w:hAnsi="Times New Roman" w:cs="Times New Roman"/>
          <w:highlight w:val="yellow"/>
          <w:sz w:val="24"/>
          <w:szCs w:val="24"/>
          <w:lang w:val="es-CO"/>
        </w:rPr>
        <w:t xml:space="preserve">fecha de octubre de 2026</w:t>
      </w:r>
      <w:r>
        <w:rPr>
          <w:rFonts w:ascii="Times New Roman" w:eastAsia="Arial" w:hAnsi="Times New Roman" w:cs="Times New Roman"/>
          <w:sz w:val="24"/>
          <w:szCs w:val="24"/>
          <w:lang w:val="es-CO"/>
        </w:rPr>
        <w:t xml:space="preserve"> y </w:t>
      </w:r>
      <w:r>
        <w:rPr>
          <w:rFonts w:ascii="Times New Roman" w:eastAsia="Arial" w:hAnsi="Times New Roman" w:cs="Times New Roman"/>
          <w:highlight w:val="yellow"/>
          <w:sz w:val="24"/>
          <w:szCs w:val="24"/>
          <w:lang w:val="es-CO"/>
        </w:rPr>
        <w:t xml:space="preserve">Variante 1: certificó que cumple la función de iluminación portátil a distancia del vehículo prevista en la Resolución 3100 de 2019, según certificación que se anexa / Variante 2: requirió a la contratista su reposición por un elemento de especificación asistencial, mediante oficio del (fecha) que se anexa. La supervisora debe inspeccionar físicamente el elemento en la IPS San Cayetano antes de certificar. No marcar casillas ni añadir firmas al formato del 22 de enero de 2026</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f)</w:t>
        <w:tab/>
      </w:r>
      <w:r>
        <w:rPr>
          <w:rFonts w:ascii="Times New Roman" w:eastAsia="Arial" w:hAnsi="Times New Roman" w:cs="Times New Roman"/>
          <w:sz w:val="24"/>
          <w:szCs w:val="24"/>
          <w:lang w:val="es-CO"/>
        </w:rPr>
        <w:t xml:space="preserve">Lactato de Ringer. En el mismo formato del 22 de enero de 2026 consta la entrega de tres bolsas de lactato de Ringer </w:t>
      </w:r>
      <w:r>
        <w:rPr>
          <w:rFonts w:ascii="Times New Roman" w:eastAsia="Arial" w:hAnsi="Times New Roman" w:cs="Times New Roman"/>
          <w:highlight w:val="yellow"/>
          <w:sz w:val="24"/>
          <w:szCs w:val="24"/>
          <w:lang w:val="es-CO"/>
        </w:rPr>
        <w:t xml:space="preserve">lote y fecha de vencimiento, según el registro fotográfico o el kardex</w:t>
      </w:r>
      <w:r>
        <w:rPr>
          <w:rFonts w:ascii="Times New Roman" w:eastAsia="Arial" w:hAnsi="Times New Roman" w:cs="Times New Roman"/>
          <w:sz w:val="24"/>
          <w:szCs w:val="24"/>
          <w:lang w:val="es-CO"/>
        </w:rPr>
        <w:t xml:space="preserve">, en reemplazo de la unidad de la dotación inicial que vencía en febrero de 2026, atendiendo la observación de la lista de chequeo. </w:t>
      </w:r>
      <w:r>
        <w:rPr>
          <w:rFonts w:ascii="Times New Roman" w:eastAsia="Arial" w:hAnsi="Times New Roman" w:cs="Times New Roman"/>
          <w:highlight w:val="yellow"/>
          <w:sz w:val="24"/>
          <w:szCs w:val="24"/>
          <w:lang w:val="es-CO"/>
        </w:rPr>
        <w:t xml:space="preserve">Mencionar el control de inventario del servicio solo si se anexa el kardex o la certificación de la IPS San Cayetano.</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g)</w:t>
        <w:tab/>
      </w:r>
      <w:r>
        <w:rPr>
          <w:rFonts w:ascii="Times New Roman" w:eastAsia="Arial" w:hAnsi="Times New Roman" w:cs="Times New Roman"/>
          <w:sz w:val="24"/>
          <w:szCs w:val="24"/>
          <w:lang w:val="es-CO"/>
        </w:rPr>
        <w:t xml:space="preserve">Acta de entrega y recibo a satisfacción. El recibo del bien consta en cuatro documentos: el comprobante FCAF-55 del 26 de diciembre de 2025, con el que el almacén registró el activo; la lista de chequeo PL-FO-12 del 16 de enero de 2026, suscrita por la Coordinadora de la IPS San Cayetano y el Líder de Almacén, que confrontó la totalidad de las especificaciones técnicas, de carrocería, dotación y equipo de carretera de la Resolución 3100 de 2019; el formato PL-FO-13 del 22 de enero de 2026, para los elementos pendientes; y la licencia de tránsito del 30 de enero de 2026. La entidad reconoce que el acta de recibo de la cláusula sexta no se levantó entonces como documento único. Por ello, el </w:t>
      </w:r>
      <w:r>
        <w:rPr>
          <w:rFonts w:ascii="Times New Roman" w:eastAsia="Arial" w:hAnsi="Times New Roman" w:cs="Times New Roman"/>
          <w:highlight w:val="yellow"/>
          <w:sz w:val="24"/>
          <w:szCs w:val="24"/>
          <w:lang w:val="es-CO"/>
        </w:rPr>
        <w:t xml:space="preserve">fecha de octubre de 2026</w:t>
      </w:r>
      <w:r>
        <w:rPr>
          <w:rFonts w:ascii="Times New Roman" w:eastAsia="Arial" w:hAnsi="Times New Roman" w:cs="Times New Roman"/>
          <w:sz w:val="24"/>
          <w:szCs w:val="24"/>
          <w:lang w:val="es-CO"/>
        </w:rPr>
        <w:t xml:space="preserve">, la supervisora y el Líder de Almacén </w:t>
      </w:r>
      <w:r>
        <w:rPr>
          <w:rFonts w:ascii="Times New Roman" w:eastAsia="Arial" w:hAnsi="Times New Roman" w:cs="Times New Roman"/>
          <w:highlight w:val="yellow"/>
          <w:sz w:val="24"/>
          <w:szCs w:val="24"/>
          <w:lang w:val="es-CO"/>
        </w:rPr>
        <w:t xml:space="preserve">y la contratista, solo si acepta la salvedad</w:t>
      </w:r>
      <w:r>
        <w:rPr>
          <w:rFonts w:ascii="Times New Roman" w:eastAsia="Arial" w:hAnsi="Times New Roman" w:cs="Times New Roman"/>
          <w:sz w:val="24"/>
          <w:szCs w:val="24"/>
          <w:lang w:val="es-CO"/>
        </w:rPr>
        <w:t xml:space="preserve"> suscribieron el acta de verificación de cumplimiento y cierre del contrato, que se anexa: certifica, con remisión a esos soportes, la entrega del bien y su dotación el 16 y el 22 de enero de 2026 y la matrícula a favor de la entidad el 30 de enero de 2026, dentro del plazo contractual, e identifica el bien (placa, VIN, motor </w:t>
      </w:r>
      <w:r>
        <w:rPr>
          <w:rFonts w:ascii="Times New Roman" w:eastAsia="Arial" w:hAnsi="Times New Roman" w:cs="Times New Roman"/>
          <w:highlight w:val="yellow"/>
          <w:sz w:val="24"/>
          <w:szCs w:val="24"/>
          <w:lang w:val="es-CO"/>
        </w:rPr>
        <w:t xml:space="preserve">y kilometraje, solo si consta en la lista de chequeo o en fotografías del 16 de enero de 2026</w:t>
      </w:r>
      <w:r>
        <w:rPr>
          <w:rFonts w:ascii="Times New Roman" w:eastAsia="Arial" w:hAnsi="Times New Roman" w:cs="Times New Roman"/>
          <w:sz w:val="24"/>
          <w:szCs w:val="24"/>
          <w:lang w:val="es-CO"/>
        </w:rPr>
        <w:t xml:space="preserve">) y su ubicación en el municipio de San Cayetano </w:t>
      </w:r>
      <w:r>
        <w:rPr>
          <w:rFonts w:ascii="Times New Roman" w:eastAsia="Arial" w:hAnsi="Times New Roman" w:cs="Times New Roman"/>
          <w:highlight w:val="yellow"/>
          <w:sz w:val="24"/>
          <w:szCs w:val="24"/>
          <w:lang w:val="es-CO"/>
        </w:rPr>
        <w:t xml:space="preserve">, con la salvedad que allí consta sobre el dato de modelo de la factura, solo si se incluye el literal h)</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suscribirla con la fecha actual, nunca con fecha de enero de 2026; sin "a entera satisfacción", "paz y salvo" ni "sin reclamación alguna"</w:t>
      </w:r>
      <w:r>
        <w:rPr>
          <w:rFonts w:ascii="Times New Roman" w:eastAsia="Arial" w:hAnsi="Times New Roman" w:cs="Times New Roman"/>
          <w:sz w:val="24"/>
          <w:szCs w:val="24"/>
          <w:lang w:val="es-CO"/>
        </w:rPr>
        <w:t xml:space="preserve">. Como acción de mejora, la entidad exigirá que el formato PL-FO-13, adoptado en enero de 2026, se diligencie íntegramente, con el concepto de recibo y la firma de la supervisión, como requisito de cierre de cada contrato de bienes.</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h)</w:t>
        <w:tab/>
      </w:r>
      <w:r>
        <w:rPr>
          <w:rFonts w:ascii="Times New Roman" w:eastAsia="Arial" w:hAnsi="Times New Roman" w:cs="Times New Roman"/>
          <w:sz w:val="24"/>
          <w:szCs w:val="24"/>
          <w:lang w:val="es-CO"/>
        </w:rPr>
        <w:t xml:space="preserve">Identificación y año-modelo del vehículo entregado. </w:t>
      </w:r>
      <w:r>
        <w:rPr>
          <w:rFonts w:ascii="Times New Roman" w:eastAsia="Arial" w:hAnsi="Times New Roman" w:cs="Times New Roman"/>
          <w:highlight w:val="yellow"/>
          <w:sz w:val="24"/>
          <w:szCs w:val="24"/>
          <w:lang w:val="es-CO"/>
        </w:rPr>
        <w:t xml:space="preserve">DECISIÓN DEL ABOGADO. Incluir este literal solo si la minuta, los estudios previos o la factura FEI2168 consignan "modelo 2026". Si ninguno exige año-modelo ni vehículo sin matricular, reemplazarlo por: "h) Año-modelo. Ni los estudios previos ni el contrato exigieron un año-modelo determinado ni un vehículo sin matrícula previa; la especificación fue el cumplimiento de la Resolución 3100 de 2019 para ambulancia TAB, verificado el 16 y el 22 de enero de 2026", suprimir el anexo 9 y retirar la referencia a la salvedad en g) y en el anexo 6. Si lo dicen, incluirlo: la Contraloría ya tiene la factura (2026), la lista de chequeo y la licencia (2025), y el literal c) lo deja a la vista. Confrontar también si el contrato exige 4x4 frente a la ficha técnica de la línea BJ1037V3KAV-1A.</w:t>
      </w:r>
      <w:r>
        <w:rPr>
          <w:rFonts w:ascii="Times New Roman" w:eastAsia="Arial" w:hAnsi="Times New Roman" w:cs="Times New Roman"/>
          <w:sz w:val="24"/>
          <w:szCs w:val="24"/>
          <w:lang w:val="es-CO"/>
        </w:rPr>
        <w:t xml:space="preserve"> El contrato y la factura FEI2168 describen el automotor como modelo 2026, mientras que la lista de chequeo del 16 de enero de 2026, la licencia de tránsito y el RUNT lo registran como modelo 2025. La entidad verificó que el vehículo entregado es el que identifican la factura y el comprobante FCAF-55 (VIN LVAV2KAB2SU314330, motor R088768) y que cumple las especificaciones técnicas de la Resolución 3100 de 2019 exigidas en el contrato, conforme a los literales e) y g). Mediante oficio del </w:t>
      </w:r>
      <w:r>
        <w:rPr>
          <w:rFonts w:ascii="Times New Roman" w:eastAsia="Arial" w:hAnsi="Times New Roman" w:cs="Times New Roman"/>
          <w:highlight w:val="yellow"/>
          <w:sz w:val="24"/>
          <w:szCs w:val="24"/>
          <w:lang w:val="es-CO"/>
        </w:rPr>
        <w:t xml:space="preserve">fecha, anterior a la de este oficio</w:t>
      </w:r>
      <w:r>
        <w:rPr>
          <w:rFonts w:ascii="Times New Roman" w:eastAsia="Arial" w:hAnsi="Times New Roman" w:cs="Times New Roman"/>
          <w:sz w:val="24"/>
          <w:szCs w:val="24"/>
          <w:lang w:val="es-CO"/>
        </w:rPr>
        <w:t xml:space="preserve"> la entidad requirió a la contratista la aclaración del dato de modelo de la factura electrónica y, de ser procedente, la nota de ajuste correspondiente, la ficha técnica del fabricante y la acreditación del estado del vehículo a la entrega. </w:t>
      </w:r>
      <w:r>
        <w:rPr>
          <w:rFonts w:ascii="Times New Roman" w:eastAsia="Arial" w:hAnsi="Times New Roman" w:cs="Times New Roman"/>
          <w:highlight w:val="yellow"/>
          <w:sz w:val="24"/>
          <w:szCs w:val="24"/>
          <w:lang w:val="es-CO"/>
        </w:rPr>
        <w:t xml:space="preserve">VARIANTE A, si la cotización acredita que el valor pagado es igual o inferior al de mercado de una TAB equivalente modelo 2025 a diciembre de 2025:</w:t>
      </w:r>
      <w:r>
        <w:rPr>
          <w:rFonts w:ascii="Times New Roman" w:eastAsia="Arial" w:hAnsi="Times New Roman" w:cs="Times New Roman"/>
          <w:sz w:val="24"/>
          <w:szCs w:val="24"/>
          <w:lang w:val="es-CO"/>
        </w:rPr>
        <w:t xml:space="preserve"> Según la cotización de </w:t>
      </w:r>
      <w:r>
        <w:rPr>
          <w:rFonts w:ascii="Times New Roman" w:eastAsia="Arial" w:hAnsi="Times New Roman" w:cs="Times New Roman"/>
          <w:highlight w:val="yellow"/>
          <w:sz w:val="24"/>
          <w:szCs w:val="24"/>
          <w:lang w:val="es-CO"/>
        </w:rPr>
        <w:t xml:space="preserve">concesionario</w:t>
      </w:r>
      <w:r>
        <w:rPr>
          <w:rFonts w:ascii="Times New Roman" w:eastAsia="Arial" w:hAnsi="Times New Roman" w:cs="Times New Roman"/>
          <w:sz w:val="24"/>
          <w:szCs w:val="24"/>
          <w:lang w:val="es-CO"/>
        </w:rPr>
        <w:t xml:space="preserve"> del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que se anexa, el valor pagado corresponde al precio de mercado, a diciembre de 2025, de una ambulancia TAB de las mismas características, modelo 2025, con carrozado y dotación. </w:t>
      </w:r>
      <w:r>
        <w:rPr>
          <w:rFonts w:ascii="Times New Roman" w:eastAsia="Arial" w:hAnsi="Times New Roman" w:cs="Times New Roman"/>
          <w:highlight w:val="yellow"/>
          <w:sz w:val="24"/>
          <w:szCs w:val="24"/>
          <w:lang w:val="es-CO"/>
        </w:rPr>
        <w:t xml:space="preserve">VARIANTE B, si no se obtuvo la cotización o esta muestra diferencia:</w:t>
      </w:r>
      <w:r>
        <w:rPr>
          <w:rFonts w:ascii="Times New Roman" w:eastAsia="Arial" w:hAnsi="Times New Roman" w:cs="Times New Roman"/>
          <w:sz w:val="24"/>
          <w:szCs w:val="24"/>
          <w:lang w:val="es-CO"/>
        </w:rPr>
        <w:t xml:space="preserve"> La entidad verifica con </w:t>
      </w:r>
      <w:r>
        <w:rPr>
          <w:rFonts w:ascii="Times New Roman" w:eastAsia="Arial" w:hAnsi="Times New Roman" w:cs="Times New Roman"/>
          <w:highlight w:val="yellow"/>
          <w:sz w:val="24"/>
          <w:szCs w:val="24"/>
          <w:lang w:val="es-CO"/>
        </w:rPr>
        <w:t xml:space="preserve">concesionario</w:t>
      </w:r>
      <w:r>
        <w:rPr>
          <w:rFonts w:ascii="Times New Roman" w:eastAsia="Arial" w:hAnsi="Times New Roman" w:cs="Times New Roman"/>
          <w:sz w:val="24"/>
          <w:szCs w:val="24"/>
          <w:lang w:val="es-CO"/>
        </w:rPr>
        <w:t xml:space="preserve"> el valor de mercado del vehículo entregado a la fecha del contrato; informará su resultado al equipo auditor dentro del proceso auditor y ejercerá frente a la contratista las acciones contractuales y legales a que haya lugar. La situación no afecta la aptitud del bien para el servicio ni su titularidad en cabeza de la E.S.E. </w:t>
      </w:r>
      <w:r>
        <w:rPr>
          <w:rFonts w:ascii="Times New Roman" w:eastAsia="Arial" w:hAnsi="Times New Roman" w:cs="Times New Roman"/>
          <w:highlight w:val="yellow"/>
          <w:sz w:val="24"/>
          <w:szCs w:val="24"/>
          <w:lang w:val="es-CO"/>
        </w:rPr>
        <w:t xml:space="preserve">No usar en este oficio: "incumplimiento", "bien distinto al contratado", "diferencia de valor", "sobrecosto", "usado", "anticipado", "antes de la entrega". Si la Resolución 1947 de 2025 exigía vehículo nuevo o condicionó los recursos, el riesgo de reintegro se maneja con el Ministerio, no aquí.</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Anexos del capítulo</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1.</w:t>
        <w:tab/>
      </w:r>
      <w:r>
        <w:rPr>
          <w:rFonts w:ascii="Times New Roman" w:eastAsia="Arial" w:hAnsi="Times New Roman" w:cs="Times New Roman"/>
          <w:sz w:val="24"/>
          <w:szCs w:val="24"/>
          <w:lang w:val="es-CO"/>
        </w:rPr>
        <w:t xml:space="preserve">Requerimiento de la E.S.E. a la contratista del 2 de octubre de 2026.</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2.</w:t>
        <w:tab/>
      </w:r>
      <w:r>
        <w:rPr>
          <w:rFonts w:ascii="Times New Roman" w:eastAsia="Arial" w:hAnsi="Times New Roman" w:cs="Times New Roman"/>
          <w:sz w:val="24"/>
          <w:szCs w:val="24"/>
          <w:lang w:val="es-CO"/>
        </w:rPr>
        <w:t xml:space="preserve">Respuesta de Import Medical Supplies S.A.S. del 6 de octubre de 2026 y sus anexos, en los términos recibidos; requerimiento de aclaración de la entidad del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y aclaración de la contratista del (fecha)</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3.</w:t>
        <w:tab/>
      </w:r>
      <w:r>
        <w:rPr>
          <w:rFonts w:ascii="Times New Roman" w:eastAsia="Arial" w:hAnsi="Times New Roman" w:cs="Times New Roman"/>
          <w:sz w:val="24"/>
          <w:szCs w:val="24"/>
          <w:lang w:val="es-CO"/>
        </w:rPr>
        <w:t xml:space="preserve">Consulta del RUNT de la placa NSX651 generada por la E.S.E. el </w:t>
      </w:r>
      <w:r>
        <w:rPr>
          <w:rFonts w:ascii="Times New Roman" w:eastAsia="Arial" w:hAnsi="Times New Roman" w:cs="Times New Roman"/>
          <w:highlight w:val="yellow"/>
          <w:sz w:val="24"/>
          <w:szCs w:val="24"/>
          <w:lang w:val="es-CO"/>
        </w:rPr>
        <w:t xml:space="preserve">fecha</w:t>
      </w:r>
      <w:r>
        <w:rPr>
          <w:rFonts w:ascii="Times New Roman" w:eastAsia="Arial" w:hAnsi="Times New Roman" w:cs="Times New Roman"/>
          <w:sz w:val="24"/>
          <w:szCs w:val="24"/>
          <w:lang w:val="es-CO"/>
        </w:rPr>
        <w:t xml:space="preserve">, con datos del vehículo, limitaciones y SOAT, y solicitud del certificado de tradición al organismo de tránsito </w:t>
      </w:r>
      <w:r>
        <w:rPr>
          <w:rFonts w:ascii="Times New Roman" w:eastAsia="Arial" w:hAnsi="Times New Roman" w:cs="Times New Roman"/>
          <w:highlight w:val="yellow"/>
          <w:sz w:val="24"/>
          <w:szCs w:val="24"/>
          <w:lang w:val="es-CO"/>
        </w:rPr>
        <w:t xml:space="preserve">radicado</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por generar hoy</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4.</w:t>
        <w:tab/>
      </w:r>
      <w:r>
        <w:rPr>
          <w:rFonts w:ascii="Times New Roman" w:eastAsia="Arial" w:hAnsi="Times New Roman" w:cs="Times New Roman"/>
          <w:sz w:val="24"/>
          <w:szCs w:val="24"/>
          <w:lang w:val="es-CO"/>
        </w:rPr>
        <w:t xml:space="preserve">Licencia de tránsito N° 10037693011 del 30 de enero de 2026, a nombre de la E.S.E. (se anexa de nuevo para facilidad de consulta).</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5.</w:t>
        <w:tab/>
      </w:r>
      <w:r>
        <w:rPr>
          <w:rFonts w:ascii="Times New Roman" w:eastAsia="Arial" w:hAnsi="Times New Roman" w:cs="Times New Roman"/>
          <w:sz w:val="24"/>
          <w:szCs w:val="24"/>
          <w:lang w:val="es-CO"/>
        </w:rPr>
        <w:t xml:space="preserve">Formato de recibido PL-FO-13 del 22 de enero de 2026 y certificación de la supervisora del contrato del </w:t>
      </w:r>
      <w:r>
        <w:rPr>
          <w:rFonts w:ascii="Times New Roman" w:eastAsia="Arial" w:hAnsi="Times New Roman" w:cs="Times New Roman"/>
          <w:highlight w:val="yellow"/>
          <w:sz w:val="24"/>
          <w:szCs w:val="24"/>
          <w:lang w:val="es-CO"/>
        </w:rPr>
        <w:t xml:space="preserve">fecha de 2026</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por expedir, tras inspección física</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6.</w:t>
        <w:tab/>
      </w:r>
      <w:r>
        <w:rPr>
          <w:rFonts w:ascii="Times New Roman" w:eastAsia="Arial" w:hAnsi="Times New Roman" w:cs="Times New Roman"/>
          <w:sz w:val="24"/>
          <w:szCs w:val="24"/>
          <w:lang w:val="es-CO"/>
        </w:rPr>
        <w:t xml:space="preserve">Acta de verificación de cumplimiento y cierre del Contrato N° 1056 de 2025 del </w:t>
      </w:r>
      <w:r>
        <w:rPr>
          <w:rFonts w:ascii="Times New Roman" w:eastAsia="Arial" w:hAnsi="Times New Roman" w:cs="Times New Roman"/>
          <w:highlight w:val="yellow"/>
          <w:sz w:val="24"/>
          <w:szCs w:val="24"/>
          <w:lang w:val="es-CO"/>
        </w:rPr>
        <w:t xml:space="preserve">fecha de octubre de 2026</w:t>
      </w:r>
      <w:r>
        <w:rPr>
          <w:rFonts w:ascii="Times New Roman" w:eastAsia="Arial" w:hAnsi="Times New Roman" w:cs="Times New Roman"/>
          <w:sz w:val="24"/>
          <w:szCs w:val="24"/>
          <w:lang w:val="es-CO"/>
        </w:rPr>
        <w:t xml:space="preserve"> </w:t>
      </w:r>
      <w:r>
        <w:rPr>
          <w:rFonts w:ascii="Times New Roman" w:eastAsia="Arial" w:hAnsi="Times New Roman" w:cs="Times New Roman"/>
          <w:highlight w:val="yellow"/>
          <w:sz w:val="24"/>
          <w:szCs w:val="24"/>
          <w:lang w:val="es-CO"/>
        </w:rPr>
        <w:t xml:space="preserve">por suscribir, con la salvedad si se incluye h)</w:t>
      </w:r>
      <w:r>
        <w:rPr>
          <w:rFonts w:ascii="Times New Roman" w:eastAsia="Arial" w:hAnsi="Times New Roman" w:cs="Times New Roman"/>
          <w:sz w:val="24"/>
          <w:szCs w:val="24"/>
          <w:lang w:val="es-CO"/>
        </w:rPr>
        <w:t xml:space="preserve">.</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7.</w:t>
        <w:tab/>
      </w:r>
      <w:r>
        <w:rPr>
          <w:rFonts w:ascii="Times New Roman" w:eastAsia="Arial" w:hAnsi="Times New Roman" w:cs="Times New Roman"/>
          <w:sz w:val="24"/>
          <w:szCs w:val="24"/>
          <w:lang w:val="es-CO"/>
        </w:rPr>
        <w:t xml:space="preserve">Apartes del contrato </w:t>
      </w:r>
      <w:r>
        <w:rPr>
          <w:rFonts w:ascii="Times New Roman" w:eastAsia="Arial" w:hAnsi="Times New Roman" w:cs="Times New Roman"/>
          <w:highlight w:val="yellow"/>
          <w:sz w:val="24"/>
          <w:szCs w:val="24"/>
          <w:lang w:val="es-CO"/>
        </w:rPr>
        <w:t xml:space="preserve">y de los estudios previos</w:t>
      </w:r>
      <w:r>
        <w:rPr>
          <w:rFonts w:ascii="Times New Roman" w:eastAsia="Arial" w:hAnsi="Times New Roman" w:cs="Times New Roman"/>
          <w:sz w:val="24"/>
          <w:szCs w:val="24"/>
          <w:lang w:val="es-CO"/>
        </w:rPr>
        <w:t xml:space="preserve"> donde consta la causal de contratación directa.</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8.</w:t>
        <w:tab/>
      </w:r>
      <w:r>
        <w:rPr>
          <w:rFonts w:ascii="Times New Roman" w:eastAsia="Arial" w:hAnsi="Times New Roman" w:cs="Times New Roman"/>
          <w:highlight w:val="yellow"/>
          <w:sz w:val="24"/>
          <w:szCs w:val="24"/>
          <w:lang w:val="es-CO"/>
        </w:rPr>
        <w:t xml:space="preserve">Solo si no se enviaron el 1 de octubre: lista de chequeo PL-FO-12 del 16 de enero de 2026; comprobantes de egreso CE-10213 y CE-10217; informes de actividades y de supervisión del periodo 17 al 31 de diciembre de 2025.</w:t>
      </w:r>
    </w:p>
    <w:p>
      <w:pPr>
        <w:tabs>
          <w:tab w:val="left" w:pos="709"/>
        </w:tabs>
        <w:spacing w:before="0" w:after="120" w:line="276" w:lineRule="auto"/>
        <w:ind w:left="709" w:hanging="709"/>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9.</w:t>
        <w:tab/>
      </w:r>
      <w:r>
        <w:rPr>
          <w:rFonts w:ascii="Times New Roman" w:eastAsia="Arial" w:hAnsi="Times New Roman" w:cs="Times New Roman"/>
          <w:highlight w:val="yellow"/>
          <w:sz w:val="24"/>
          <w:szCs w:val="24"/>
          <w:lang w:val="es-CO"/>
        </w:rPr>
        <w:t xml:space="preserve">Solo si se incluye el literal h): requerimiento a la contratista sobre el dato de modelo de la factura y cotización del concesionario.</w:t>
      </w:r>
    </w:p>
    <w:p>
      <w:pPr>
        <w:keepNext/>
        <w:spacing w:before="12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Síntesis</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El bien adquirido existe, está inscrito a nombre de la E.S.E. sin limitaciones a la propiedad, cumple las especificaciones técnicas de la Resolución 3100 de 2019 verificadas el 16 de enero de 2026, se pagó por el valor contratado </w:t>
      </w:r>
      <w:r>
        <w:rPr>
          <w:rFonts w:ascii="Times New Roman" w:eastAsia="Arial" w:hAnsi="Times New Roman" w:cs="Times New Roman"/>
          <w:highlight w:val="yellow"/>
          <w:sz w:val="24"/>
          <w:szCs w:val="24"/>
          <w:lang w:val="es-CO"/>
        </w:rPr>
        <w:t xml:space="preserve">, respaldado en las cotizaciones del estudio de mercado que se anexan, solo si existen al menos dos cotizaciones independientes de la contratista</w:t>
      </w:r>
      <w:r>
        <w:rPr>
          <w:rFonts w:ascii="Times New Roman" w:eastAsia="Arial" w:hAnsi="Times New Roman" w:cs="Times New Roman"/>
          <w:sz w:val="24"/>
          <w:szCs w:val="24"/>
          <w:lang w:val="es-CO"/>
        </w:rPr>
        <w:t xml:space="preserve"> y </w:t>
      </w:r>
      <w:r>
        <w:rPr>
          <w:rFonts w:ascii="Times New Roman" w:eastAsia="Arial" w:hAnsi="Times New Roman" w:cs="Times New Roman"/>
          <w:highlight w:val="yellow"/>
          <w:sz w:val="24"/>
          <w:szCs w:val="24"/>
          <w:lang w:val="es-CO"/>
        </w:rPr>
        <w:t xml:space="preserve">presta servicio en la IPS San Cayetano, solo si se confirma la habilitación en el REPS; si no: está asignado a la IPS San Cayetano</w:t>
      </w:r>
      <w:r>
        <w:rPr>
          <w:rFonts w:ascii="Times New Roman" w:eastAsia="Arial" w:hAnsi="Times New Roman" w:cs="Times New Roman"/>
          <w:sz w:val="24"/>
          <w:szCs w:val="24"/>
          <w:lang w:val="es-CO"/>
        </w:rPr>
        <w:t xml:space="preserve">. Con fundamento en lo anterior, la entidad considera que las situaciones advertidas no comportan detrimento al patrimonio público en los términos del artículo 6 de la Ley 610 de 2000, modificado por el artículo 126 del Decreto Ley 403 de 2020, y tienen carácter administrativo </w:t>
      </w:r>
      <w:r>
        <w:rPr>
          <w:rFonts w:ascii="Times New Roman" w:eastAsia="Arial" w:hAnsi="Times New Roman" w:cs="Times New Roman"/>
          <w:highlight w:val="yellow"/>
          <w:sz w:val="24"/>
          <w:szCs w:val="24"/>
          <w:lang w:val="es-CO"/>
        </w:rPr>
        <w:t xml:space="preserve">, sin perjuicio de la verificación descrita en el literal h), cuyo resultado se informará al equipo auditor, solo en la Variante B</w:t>
      </w:r>
      <w:r>
        <w:rPr>
          <w:rFonts w:ascii="Times New Roman" w:eastAsia="Arial" w:hAnsi="Times New Roman" w:cs="Times New Roman"/>
          <w:sz w:val="24"/>
          <w:szCs w:val="24"/>
          <w:lang w:val="es-CO"/>
        </w:rPr>
        <w:t xml:space="preserve">. La ordenadora del gasto actuó con base en las certificaciones de la supervisión, del almacén y del área de presupuesto, y las deficiencias documentales del expediente fueron atendidas por la entidad durante el proceso auditor, en atención a las observaciones del equipo auditor y antes del informe preliminar, con los documentos que se anexan, lo que solicita se valore como beneficio del control fiscal. </w:t>
      </w:r>
      <w:r>
        <w:rPr>
          <w:rFonts w:ascii="Times New Roman" w:eastAsia="Arial" w:hAnsi="Times New Roman" w:cs="Times New Roman"/>
          <w:highlight w:val="yellow"/>
          <w:sz w:val="24"/>
          <w:szCs w:val="24"/>
          <w:lang w:val="es-CO"/>
        </w:rPr>
        <w:t xml:space="preserve">Si al radicar nada queda pendiente de terceros, suprimir la frase siguiente:</w:t>
      </w:r>
      <w:r>
        <w:rPr>
          <w:rFonts w:ascii="Times New Roman" w:eastAsia="Arial" w:hAnsi="Times New Roman" w:cs="Times New Roman"/>
          <w:sz w:val="24"/>
          <w:szCs w:val="24"/>
          <w:lang w:val="es-CO"/>
        </w:rPr>
        <w:t xml:space="preserve"> Las aclaraciones que dependen de la contratista y del organismo de tránsito están en trámite en los términos indicados.</w:t>
      </w:r>
    </w:p>
    <w:p>
      <w:pPr>
        <w:keepNext/>
        <w:spacing w:before="24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b/>
          <w:bCs/>
          <w:sz w:val="24"/>
          <w:szCs w:val="24"/>
          <w:lang w:val="es-CO"/>
        </w:rPr>
        <w:t xml:space="preserve">IV. Consideración final</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En los tres contratos los bienes adquiridos existen, ingresaron al almacén, fueron recibidos y están al servicio de la red hospitalaria, y se pagó exactamente el valor pactado, con respaldo presupuestal y sin exceder las apropiaciones. Con fundamento en lo anterior, la entidad considera que las situaciones advertidas no comportan detrimento al patrimonio público en los términos del artículo 6 de la Ley 610 de 2000, modificado por el artículo 126 del Decreto Ley 403 de 2020, y tienen carácter administrativo </w:t>
      </w:r>
      <w:r>
        <w:rPr>
          <w:rFonts w:ascii="Times New Roman" w:eastAsia="Arial" w:hAnsi="Times New Roman" w:cs="Times New Roman"/>
          <w:highlight w:val="yellow"/>
          <w:sz w:val="24"/>
          <w:szCs w:val="24"/>
          <w:lang w:val="es-CO"/>
        </w:rPr>
        <w:t xml:space="preserve">, sin perjuicio de la verificación descrita en el literal h) del capítulo III, cuyo resultado se informará al equipo auditor, solo en la Variante B</w:t>
      </w:r>
      <w:r>
        <w:rPr>
          <w:rFonts w:ascii="Times New Roman" w:eastAsia="Arial" w:hAnsi="Times New Roman" w:cs="Times New Roman"/>
          <w:sz w:val="24"/>
          <w:szCs w:val="24"/>
          <w:lang w:val="es-CO"/>
        </w:rPr>
        <w:t xml:space="preserve">. La ordenadora del gasto actuó con base en las certificaciones de los supervisores, del almacén y del área de presupuesto, y las imprecisiones advertidas fueron aclaradas o corregidas por la entidad durante el proceso auditor, en atención a las observaciones del equipo auditor y antes del informe preliminar, lo que solicita se valore como beneficio del control fiscal. Los asuntos que dependen de terceros, la corrección del formato de rendición, la definición de los descuentos departamentales y las aclaraciones de la contratista del Contrato N° 1056 y del organismo de tránsito, se adelantarán conforme a las indicaciones del equipo auditor, al concepto de la Secretaría de Hacienda departamental y en los términos indicados en cada capítulo.</w:t>
      </w:r>
    </w:p>
    <w:p>
      <w:pPr>
        <w:keepNext/>
        <w:spacing w:before="240" w:after="120" w:line="276" w:lineRule="auto"/>
        <w:jc w:val="left"/>
        <w:rPr>
          <w:rFonts w:ascii="Times New Roman" w:eastAsia="Arial" w:hAnsi="Times New Roman" w:cs="Times New Roman"/>
          <w:sz w:val="24"/>
          <w:szCs w:val="24"/>
          <w:lang w:val="es-CO"/>
        </w:rPr>
      </w:pPr>
      <w:r>
        <w:rPr>
          <w:rFonts w:ascii="Times New Roman" w:eastAsia="Arial" w:hAnsi="Times New Roman" w:cs="Times New Roman"/>
          <w:b/>
          <w:bCs/>
          <w:sz w:val="24"/>
          <w:szCs w:val="24"/>
          <w:lang w:val="es-CO"/>
        </w:rPr>
        <w:t xml:space="preserve">V. Solicitud</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Con fundamento en lo expuesto y en los documentos que se anexan, la E.S.E. Hospital Regional Centro solicita respetuosamente al equipo auditor tener por aclarada la Inconsistencia N° 8 y por atendidas las observaciones sobre los contratos 983, 1058 y 1056 de 2025 o, en su defecto, calificarlas como de carácter administrativo para su inclusión en el plan de mejoramiento. La entidad reitera su disposición de aportar la información o aclaración adicional que el equipo auditor considere necesaria y de atender las verificaciones que estime pertinentes.</w:t>
      </w:r>
    </w:p>
    <w:p>
      <w:pPr>
        <w:spacing w:before="0" w:after="200" w:line="276" w:lineRule="auto"/>
        <w:jc w:val="both"/>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Atentamente,</w:t>
      </w: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left"/>
        <w:rPr>
          <w:rFonts w:ascii="Times New Roman" w:eastAsia="Arial" w:hAnsi="Times New Roman" w:cs="Times New Roman"/>
          <w:b/>
          <w:bCs/>
          <w:sz w:val="24"/>
          <w:szCs w:val="24"/>
          <w:lang w:val="es-CO"/>
        </w:rPr>
      </w:pPr>
      <w:r>
        <w:rPr>
          <w:rFonts w:ascii="Times New Roman" w:eastAsia="Arial" w:hAnsi="Times New Roman" w:cs="Times New Roman"/>
          <w:b/>
          <w:bCs/>
          <w:sz w:val="24"/>
          <w:szCs w:val="24"/>
          <w:lang w:val="es-CO"/>
        </w:rPr>
        <w:t xml:space="preserve">CLAUDIA BELÉN JULIO SEPÚLVEDA</w:t>
      </w: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Gerente, E.S.E. Hospital Regional Centro</w:t>
      </w:r>
    </w:p>
    <w:p>
      <w:pPr>
        <w:spacing w:before="0" w:after="0" w:line="276" w:lineRule="auto"/>
        <w:jc w:val="both"/>
        <w:rPr>
          <w:rFonts w:ascii="Times New Roman" w:eastAsia="Arial" w:hAnsi="Times New Roman" w:cs="Times New Roman"/>
          <w:sz w:val="24"/>
          <w:szCs w:val="24"/>
          <w:lang w:val="es-CO"/>
        </w:rPr>
      </w:pPr>
    </w:p>
    <w:p>
      <w:pPr>
        <w:spacing w:before="0" w:after="0" w:line="276" w:lineRule="auto"/>
        <w:jc w:val="left"/>
        <w:rPr>
          <w:rFonts w:ascii="Times New Roman" w:eastAsia="Arial" w:hAnsi="Times New Roman" w:cs="Times New Roman"/>
          <w:sz w:val="24"/>
          <w:szCs w:val="24"/>
          <w:lang w:val="es-CO"/>
        </w:rPr>
      </w:pPr>
      <w:r>
        <w:rPr>
          <w:rFonts w:ascii="Times New Roman" w:eastAsia="Arial" w:hAnsi="Times New Roman" w:cs="Times New Roman"/>
          <w:sz w:val="24"/>
          <w:szCs w:val="24"/>
          <w:lang w:val="es-CO"/>
        </w:rPr>
        <w:t xml:space="preserve">Anexos: los relacionados en el numeral 3.</w:t>
      </w:r>
    </w:p>
    <w:p>
      <w:pPr>
        <w:spacing w:after="0"/>
      </w:pPr>
    </w:p>
    <w:tbl>
      <w:tblPr>
        <w:tblStyle w:val="Tablaconcuadrcula"/>
        <w:tblW w:w="5000" w:type="pct"/>
        <w:tblLook w:val="04A0" w:firstRow="1" w:lastRow="0" w:firstColumn="1" w:lastColumn="0" w:noHBand="0" w:noVBand="1"/>
      </w:tblPr>
      <w:tblGrid>
        <w:gridCol w:w="1036"/>
        <w:gridCol w:w="4854"/>
        <w:gridCol w:w="2938"/>
      </w:tblGrid>
      <w:tr w:rsidR="00CD0C5B" w:rsidRPr="00BB4C1B" w14:paraId="1055D3B5" w14:textId="77777777" w:rsidTr="00BB4C1B">
        <w:trPr>
          <w:trHeight w:val="283"/>
        </w:trPr>
        <w:tc>
          <w:tcPr>
            <w:tcW w:w="587" w:type="pct"/>
            <w:vAlign w:val="center"/>
          </w:tcPr>
          <w:p w14:paraId="18C3E441" w14:textId="77777777" w:rsidR="00CD0C5B" w:rsidRPr="00BB4C1B" w:rsidRDefault="00CD0C5B" w:rsidP="00015045">
            <w:pPr>
              <w:spacing w:after="0"/>
              <w:jc w:val="center"/>
              <w:rPr>
                <w:rFonts w:ascii="Times New Roman" w:hAnsi="Times New Roman" w:cs="Times New Roman"/>
                <w:kern w:val="2"/>
              </w:rPr>
            </w:pPr>
            <w:r>
              <w:rPr>
                <w:rFonts w:ascii="Times New Roman" w:hAnsi="Times New Roman" w:cs="Times New Roman"/>
                <w:kern w:val="2"/>
              </w:rPr>
              <w:t>Revisó:</w:t>
            </w:r>
          </w:p>
        </w:tc>
        <w:tc>
          <w:tcPr>
            <w:tcW w:w="2749" w:type="pct"/>
            <w:vAlign w:val="center"/>
          </w:tcPr>
          <w:p w14:paraId="2E184E28" w14:textId="73E84B4E" w:rsidR="00CD0C5B" w:rsidRPr="00BB4C1B" w:rsidRDefault="00BB4C1B" w:rsidP="00015045">
            <w:pPr>
              <w:spacing w:after="0"/>
              <w:jc w:val="left"/>
              <w:rPr>
                <w:rFonts w:ascii="Times New Roman" w:hAnsi="Times New Roman" w:cs="Times New Roman"/>
                <w:kern w:val="2"/>
              </w:rPr>
            </w:pPr>
            <w:r>
              <w:rPr>
                <w:rFonts w:ascii="Times New Roman" w:hAnsi="Times New Roman" w:cs="Times New Roman"/>
                <w:kern w:val="2"/>
              </w:rPr>
              <w:t>Natalia Angarita, Ramos Mejía &amp; Abogados S.A.S</w:t>
            </w:r>
          </w:p>
        </w:tc>
        <w:tc>
          <w:tcPr>
            <w:tcW w:w="1664" w:type="pct"/>
            <w:vAlign w:val="center"/>
          </w:tcPr>
          <w:p w14:paraId="757B2560" w14:textId="336622BF" w:rsidR="00CD0C5B" w:rsidRPr="00BB4C1B" w:rsidRDefault="00CD0C5B" w:rsidP="00015045">
            <w:pPr>
              <w:spacing w:after="0"/>
              <w:jc w:val="left"/>
              <w:rPr>
                <w:rFonts w:ascii="Times New Roman" w:hAnsi="Times New Roman" w:cs="Times New Roman"/>
                <w:kern w:val="2"/>
              </w:rPr>
            </w:pPr>
            <w:r>
              <w:rPr>
                <w:rFonts w:ascii="Times New Roman" w:hAnsi="Times New Roman" w:cs="Times New Roman"/>
                <w:kern w:val="2"/>
              </w:rPr>
              <w:t xml:space="preserve">Firma: </w:t>
            </w:r>
          </w:p>
        </w:tc>
      </w:tr>
    </w:tbl>
    <w:p>
      <w:pPr>
        <w:spacing w:after="0"/>
      </w:pPr>
    </w:p>
    <w:sectPr w:rsidR="00DE4070">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3B65F" w14:textId="77777777" w:rsidR="00102157" w:rsidRDefault="00102157">
      <w:r>
        <w:separator/>
      </w:r>
    </w:p>
  </w:endnote>
  <w:endnote w:type="continuationSeparator" w:id="0">
    <w:p w14:paraId="241B7C14" w14:textId="77777777" w:rsidR="00102157" w:rsidRDefault="00102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9BDC" w14:textId="77777777" w:rsidR="00DE4070" w:rsidRDefault="00000000">
    <w:pPr>
      <w:suppressAutoHyphens/>
      <w:spacing w:after="0"/>
      <w:ind w:right="360"/>
      <w:jc w:val="center"/>
      <w:rPr>
        <w:rFonts w:eastAsia="Times New Roman" w:cs="Times New Roman"/>
        <w:b/>
        <w:i/>
        <w:iCs/>
        <w:color w:val="000000"/>
        <w:sz w:val="20"/>
        <w:szCs w:val="20"/>
        <w:lang w:val="es-ES" w:eastAsia="es-ES"/>
      </w:rPr>
    </w:pPr>
    <w:r>
      <w:rPr>
        <w:rFonts w:eastAsia="Times New Roman" w:cs="Times New Roman"/>
        <w:b/>
        <w:i/>
        <w:iCs/>
        <w:color w:val="000000"/>
        <w:sz w:val="20"/>
        <w:szCs w:val="20"/>
        <w:lang w:val="es-ES" w:eastAsia="es-ES"/>
      </w:rPr>
      <w:t xml:space="preserve">"Unidos por una atención </w:t>
    </w:r>
    <w:proofErr w:type="gramStart"/>
    <w:r>
      <w:rPr>
        <w:rFonts w:eastAsia="Times New Roman" w:cs="Times New Roman"/>
        <w:b/>
        <w:i/>
        <w:iCs/>
        <w:color w:val="000000"/>
        <w:sz w:val="20"/>
        <w:szCs w:val="20"/>
        <w:lang w:val="es-ES" w:eastAsia="es-ES"/>
      </w:rPr>
      <w:t>más segura y más humana</w:t>
    </w:r>
    <w:proofErr w:type="gramEnd"/>
    <w:r>
      <w:rPr>
        <w:rFonts w:eastAsia="Times New Roman" w:cs="Times New Roman"/>
        <w:b/>
        <w:i/>
        <w:iCs/>
        <w:color w:val="000000"/>
        <w:sz w:val="20"/>
        <w:szCs w:val="20"/>
        <w:lang w:val="es-ES" w:eastAsia="es-ES"/>
      </w:rPr>
      <w:t>"</w:t>
    </w:r>
  </w:p>
  <w:p w14:paraId="62C8233B" w14:textId="77777777" w:rsidR="00DE4070" w:rsidRDefault="00000000">
    <w:pPr>
      <w:suppressAutoHyphens/>
      <w:spacing w:after="0"/>
      <w:ind w:right="360"/>
      <w:jc w:val="center"/>
      <w:rPr>
        <w:rFonts w:eastAsia="Times New Roman" w:cs="Times New Roman"/>
        <w:color w:val="000000"/>
        <w:sz w:val="18"/>
        <w:szCs w:val="18"/>
        <w:lang w:val="es-ES" w:eastAsia="es-ES"/>
      </w:rPr>
    </w:pPr>
    <w:r>
      <w:rPr>
        <w:rFonts w:eastAsia="Times New Roman" w:cs="Times New Roman"/>
        <w:color w:val="000000"/>
        <w:sz w:val="18"/>
        <w:szCs w:val="18"/>
        <w:lang w:val="es-ES" w:eastAsia="es-ES"/>
      </w:rPr>
      <w:t>KDX VDA, BARRIO MIRAFLOREZ, Cel.3118111189</w:t>
    </w:r>
  </w:p>
  <w:p w14:paraId="32FC863F" w14:textId="07455C00" w:rsidR="00DE4070" w:rsidRDefault="00173B02">
    <w:pPr>
      <w:tabs>
        <w:tab w:val="center" w:pos="4419"/>
        <w:tab w:val="right" w:pos="8838"/>
      </w:tabs>
      <w:suppressAutoHyphens/>
      <w:spacing w:after="0"/>
      <w:jc w:val="center"/>
      <w:rPr>
        <w:rFonts w:eastAsia="Arial" w:cs="Arial"/>
        <w:color w:val="000000"/>
        <w:sz w:val="18"/>
        <w:szCs w:val="18"/>
        <w:lang w:val="es-ES" w:eastAsia="es-ES"/>
      </w:rPr>
    </w:pPr>
    <w:hyperlink r:id="rId1" w:history="1">
      <w:r w:rsidRPr="009B58E2">
        <w:rPr>
          <w:rStyle w:val="Hipervnculo"/>
          <w:rFonts w:eastAsia="Arial" w:cs="Arial"/>
          <w:sz w:val="18"/>
          <w:szCs w:val="18"/>
          <w:lang w:val="es-ES" w:eastAsia="es-ES"/>
        </w:rPr>
        <w:t>secretariageneral@centroese.gov.co</w:t>
      </w:r>
    </w:hyperlink>
    <w:r>
      <w:rPr>
        <w:rFonts w:eastAsia="Arial" w:cs="Arial"/>
        <w:color w:val="000000"/>
        <w:sz w:val="18"/>
        <w:szCs w:val="18"/>
        <w:lang w:val="es-ES" w:eastAsia="es-ES"/>
      </w:rPr>
      <w:t xml:space="preserve"> – </w:t>
    </w:r>
    <w:hyperlink r:id="rId2" w:history="1">
      <w:r>
        <w:rPr>
          <w:rFonts w:eastAsia="Arial" w:cs="Arial"/>
          <w:color w:val="0563C1"/>
          <w:sz w:val="18"/>
          <w:szCs w:val="18"/>
          <w:u w:val="single"/>
          <w:lang w:val="es-ES" w:eastAsia="es-ES"/>
        </w:rPr>
        <w:t>www.esecentro.com</w:t>
      </w:r>
    </w:hyperlink>
    <w:r>
      <w:rPr>
        <w:rFonts w:eastAsia="Arial" w:cs="Arial"/>
        <w:color w:val="0563C1"/>
        <w:sz w:val="18"/>
        <w:szCs w:val="18"/>
        <w:u w:val="single"/>
        <w:lang w:val="es-ES" w:eastAsia="es-ES"/>
      </w:rPr>
      <w:t>.co</w:t>
    </w:r>
  </w:p>
  <w:p w14:paraId="1CB6E360" w14:textId="77777777" w:rsidR="00DE4070" w:rsidRDefault="00000000">
    <w:pPr>
      <w:tabs>
        <w:tab w:val="center" w:pos="4419"/>
        <w:tab w:val="right" w:pos="8838"/>
      </w:tabs>
      <w:suppressAutoHyphens/>
      <w:spacing w:after="0"/>
      <w:jc w:val="center"/>
      <w:rPr>
        <w:rFonts w:eastAsia="Arial" w:cs="Arial"/>
        <w:color w:val="000000"/>
        <w:sz w:val="18"/>
        <w:szCs w:val="18"/>
        <w:lang w:val="es-ES" w:eastAsia="es-ES"/>
      </w:rPr>
    </w:pPr>
    <w:r>
      <w:rPr>
        <w:rFonts w:eastAsia="Arial" w:cs="Arial"/>
        <w:color w:val="000000"/>
        <w:sz w:val="18"/>
        <w:szCs w:val="18"/>
        <w:lang w:val="es-ES" w:eastAsia="es-ES"/>
      </w:rPr>
      <w:t>Gramalote- Norte de Santander</w:t>
    </w:r>
  </w:p>
  <w:p w14:paraId="2F3D8E1A" w14:textId="77777777" w:rsidR="00DE4070" w:rsidRDefault="00DE40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627A6" w14:textId="77777777" w:rsidR="00102157" w:rsidRDefault="00102157">
      <w:pPr>
        <w:spacing w:after="0"/>
      </w:pPr>
      <w:r>
        <w:separator/>
      </w:r>
    </w:p>
  </w:footnote>
  <w:footnote w:type="continuationSeparator" w:id="0">
    <w:p w14:paraId="5AE79129" w14:textId="77777777" w:rsidR="00102157" w:rsidRDefault="00102157">
      <w:pPr>
        <w:spacing w:after="0"/>
      </w:pPr>
      <w:r>
        <w:continuationSeparator/>
      </w:r>
    </w:p>
  </w:footnote>
  <w:footnote w:id="1">
    <w:p>
      <w:pPr>
        <w:spacing w:after="0" w:line="240" w:lineRule="auto"/>
        <w:jc w:val="both"/>
        <w:rPr>
          <w:rFonts w:ascii="Times New Roman" w:eastAsia="Arial" w:hAnsi="Times New Roman" w:cs="Times New Roman"/>
          <w:sz w:val="18"/>
          <w:szCs w:val="18"/>
          <w:lang w:val="es-CO"/>
        </w:rPr>
      </w:pPr>
      <w:r>
        <w:rPr>
          <w:rFonts w:ascii="Times New Roman" w:eastAsia="Arial" w:hAnsi="Times New Roman" w:cs="Times New Roman"/>
          <w:vertAlign w:val="superscript"/>
          <w:sz w:val="18"/>
          <w:szCs w:val="18"/>
          <w:lang w:val="es-CO"/>
        </w:rPr>
        <w:footnoteRef/>
      </w:r>
      <w:r>
        <w:rPr>
          <w:rFonts w:ascii="Times New Roman" w:eastAsia="Arial" w:hAnsi="Times New Roman" w:cs="Times New Roman"/>
          <w:sz w:val="18"/>
          <w:szCs w:val="18"/>
          <w:lang w:val="es-CO"/>
        </w:rPr>
        <w:t xml:space="preserve"> </w:t>
      </w:r>
      <w:r>
        <w:rPr>
          <w:rFonts w:ascii="Times New Roman" w:eastAsia="Arial" w:hAnsi="Times New Roman" w:cs="Times New Roman"/>
          <w:sz w:val="18"/>
          <w:szCs w:val="18"/>
          <w:lang w:val="es-CO"/>
        </w:rPr>
        <w:t xml:space="preserve">Ley 100 de 1993, artículo 195, numeral 6, y Ley 1150 de 2007, artículo 13. La asociación de las Empresas Sociales del Estado en cooperativas para sus compras está autorizada por el artículo 76 de la Ley 1438 de 2011.</w:t>
      </w:r>
    </w:p>
  </w:footnote>
  <w:footnote w:id="2">
    <w:p>
      <w:pPr>
        <w:spacing w:after="0" w:line="240" w:lineRule="auto"/>
        <w:jc w:val="both"/>
        <w:rPr>
          <w:rFonts w:ascii="Times New Roman" w:eastAsia="Arial" w:hAnsi="Times New Roman" w:cs="Times New Roman"/>
          <w:sz w:val="18"/>
          <w:szCs w:val="18"/>
          <w:lang w:val="es-CO"/>
        </w:rPr>
      </w:pPr>
      <w:r>
        <w:rPr>
          <w:rFonts w:ascii="Times New Roman" w:eastAsia="Arial" w:hAnsi="Times New Roman" w:cs="Times New Roman"/>
          <w:vertAlign w:val="superscript"/>
          <w:sz w:val="18"/>
          <w:szCs w:val="18"/>
          <w:lang w:val="es-CO"/>
        </w:rPr>
        <w:footnoteRef/>
      </w:r>
      <w:r>
        <w:rPr>
          <w:rFonts w:ascii="Times New Roman" w:eastAsia="Arial" w:hAnsi="Times New Roman" w:cs="Times New Roman"/>
          <w:sz w:val="18"/>
          <w:szCs w:val="18"/>
          <w:lang w:val="es-CO"/>
        </w:rPr>
        <w:t xml:space="preserve"> </w:t>
      </w:r>
      <w:r>
        <w:rPr>
          <w:rFonts w:ascii="Times New Roman" w:eastAsia="Arial" w:hAnsi="Times New Roman" w:cs="Times New Roman"/>
          <w:sz w:val="18"/>
          <w:szCs w:val="18"/>
          <w:lang w:val="es-CO"/>
        </w:rPr>
        <w:t xml:space="preserve">Ley 789 de 2002, artículo 50, y Ley 1150 de 2007, artículo 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7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1196"/>
      <w:gridCol w:w="4568"/>
      <w:gridCol w:w="2032"/>
      <w:gridCol w:w="1698"/>
    </w:tblGrid>
    <w:tr w:rsidR="00DE4070" w14:paraId="26545AFC" w14:textId="77777777">
      <w:trPr>
        <w:trHeight w:val="60"/>
        <w:jc w:val="center"/>
      </w:trPr>
      <w:tc>
        <w:tcPr>
          <w:tcW w:w="654" w:type="pct"/>
          <w:vMerge w:val="restart"/>
        </w:tcPr>
        <w:p w14:paraId="15A0E886" w14:textId="77777777" w:rsidR="00DE4070" w:rsidRDefault="00000000">
          <w:pPr>
            <w:tabs>
              <w:tab w:val="center" w:pos="4252"/>
              <w:tab w:val="right" w:pos="8504"/>
            </w:tabs>
            <w:spacing w:after="0"/>
            <w:ind w:hanging="2"/>
            <w:jc w:val="center"/>
            <w:rPr>
              <w:color w:val="000000"/>
              <w:sz w:val="20"/>
              <w:szCs w:val="20"/>
            </w:rPr>
          </w:pPr>
          <w:r>
            <w:rPr>
              <w:noProof/>
              <w:sz w:val="20"/>
              <w:szCs w:val="20"/>
              <w:lang w:eastAsia="es-CO"/>
            </w:rPr>
            <w:drawing>
              <wp:anchor distT="0" distB="0" distL="114300" distR="114300" simplePos="0" relativeHeight="251659264" behindDoc="1" locked="0" layoutInCell="1" allowOverlap="1" wp14:anchorId="32F87063" wp14:editId="7FFC54DC">
                <wp:simplePos x="0" y="0"/>
                <wp:positionH relativeFrom="column">
                  <wp:posOffset>7620</wp:posOffset>
                </wp:positionH>
                <wp:positionV relativeFrom="paragraph">
                  <wp:posOffset>20320</wp:posOffset>
                </wp:positionV>
                <wp:extent cx="695325" cy="533400"/>
                <wp:effectExtent l="0" t="0" r="9525" b="0"/>
                <wp:wrapNone/>
                <wp:docPr id="4" name="Imagen 3"/>
                <wp:cNvGraphicFramePr/>
                <a:graphic xmlns:a="http://schemas.openxmlformats.org/drawingml/2006/main">
                  <a:graphicData uri="http://schemas.openxmlformats.org/drawingml/2006/picture">
                    <pic:pic xmlns:pic="http://schemas.openxmlformats.org/drawingml/2006/picture">
                      <pic:nvPicPr>
                        <pic:cNvPr id="4" name="Imagen 3"/>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95325" cy="533400"/>
                        </a:xfrm>
                        <a:prstGeom prst="rect">
                          <a:avLst/>
                        </a:prstGeom>
                        <a:noFill/>
                        <a:ln>
                          <a:noFill/>
                        </a:ln>
                      </pic:spPr>
                    </pic:pic>
                  </a:graphicData>
                </a:graphic>
              </wp:anchor>
            </w:drawing>
          </w:r>
        </w:p>
      </w:tc>
      <w:tc>
        <w:tcPr>
          <w:tcW w:w="2430" w:type="pct"/>
          <w:vMerge w:val="restart"/>
          <w:vAlign w:val="center"/>
        </w:tcPr>
        <w:p w14:paraId="5905158D" w14:textId="77777777" w:rsidR="00DE4070" w:rsidRDefault="00000000">
          <w:pPr>
            <w:tabs>
              <w:tab w:val="center" w:pos="4252"/>
              <w:tab w:val="right" w:pos="8504"/>
            </w:tabs>
            <w:spacing w:after="0"/>
            <w:ind w:hanging="2"/>
            <w:jc w:val="center"/>
            <w:rPr>
              <w:rFonts w:eastAsia="Arial" w:cs="Arial"/>
              <w:color w:val="000000"/>
              <w:sz w:val="20"/>
              <w:szCs w:val="20"/>
            </w:rPr>
          </w:pPr>
          <w:r>
            <w:rPr>
              <w:rFonts w:eastAsia="Arial" w:cs="Arial"/>
              <w:color w:val="000000"/>
              <w:sz w:val="20"/>
              <w:szCs w:val="20"/>
            </w:rPr>
            <w:t>COMUNICACIÓN EXTERNA</w:t>
          </w:r>
        </w:p>
      </w:tc>
      <w:tc>
        <w:tcPr>
          <w:tcW w:w="1094" w:type="pct"/>
          <w:vAlign w:val="center"/>
        </w:tcPr>
        <w:p w14:paraId="331896E5" w14:textId="77777777" w:rsidR="00DE4070" w:rsidRDefault="00000000">
          <w:pPr>
            <w:tabs>
              <w:tab w:val="center" w:pos="4252"/>
              <w:tab w:val="right" w:pos="8504"/>
            </w:tabs>
            <w:spacing w:after="0"/>
            <w:jc w:val="left"/>
            <w:rPr>
              <w:rFonts w:eastAsia="Calibri" w:cs="Arial"/>
              <w:color w:val="000000"/>
              <w:sz w:val="20"/>
              <w:szCs w:val="20"/>
            </w:rPr>
          </w:pPr>
          <w:r>
            <w:rPr>
              <w:rFonts w:eastAsia="Calibri" w:cs="Arial"/>
              <w:color w:val="000000"/>
              <w:sz w:val="20"/>
              <w:szCs w:val="20"/>
            </w:rPr>
            <w:t>Código: GCA-FO-02</w:t>
          </w:r>
        </w:p>
      </w:tc>
      <w:tc>
        <w:tcPr>
          <w:tcW w:w="822" w:type="pct"/>
          <w:vMerge w:val="restart"/>
        </w:tcPr>
        <w:p w14:paraId="51618C68" w14:textId="77777777" w:rsidR="00DE4070" w:rsidRDefault="00000000">
          <w:pPr>
            <w:tabs>
              <w:tab w:val="center" w:pos="4252"/>
              <w:tab w:val="right" w:pos="8504"/>
            </w:tabs>
            <w:spacing w:after="0"/>
            <w:ind w:hanging="2"/>
            <w:jc w:val="center"/>
            <w:rPr>
              <w:color w:val="000000"/>
              <w:sz w:val="20"/>
              <w:szCs w:val="20"/>
            </w:rPr>
          </w:pPr>
          <w:r>
            <w:rPr>
              <w:noProof/>
              <w:color w:val="000000"/>
              <w:sz w:val="20"/>
              <w:szCs w:val="20"/>
            </w:rPr>
            <w:drawing>
              <wp:inline distT="0" distB="0" distL="0" distR="0" wp14:anchorId="0E508665" wp14:editId="42407794">
                <wp:extent cx="987425" cy="600075"/>
                <wp:effectExtent l="0" t="0" r="3175" b="9525"/>
                <wp:docPr id="40804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1466"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87425" cy="600075"/>
                        </a:xfrm>
                        <a:prstGeom prst="rect">
                          <a:avLst/>
                        </a:prstGeom>
                        <a:noFill/>
                      </pic:spPr>
                    </pic:pic>
                  </a:graphicData>
                </a:graphic>
              </wp:inline>
            </w:drawing>
          </w:r>
        </w:p>
      </w:tc>
    </w:tr>
    <w:tr w:rsidR="00DE4070" w14:paraId="7FE72EE4" w14:textId="77777777">
      <w:tblPrEx>
        <w:tblCellMar>
          <w:left w:w="108" w:type="dxa"/>
          <w:right w:w="108" w:type="dxa"/>
        </w:tblCellMar>
      </w:tblPrEx>
      <w:trPr>
        <w:trHeight w:val="204"/>
        <w:jc w:val="center"/>
      </w:trPr>
      <w:tc>
        <w:tcPr>
          <w:tcW w:w="654" w:type="pct"/>
          <w:vMerge/>
        </w:tcPr>
        <w:p w14:paraId="0D3329ED" w14:textId="77777777" w:rsidR="00DE4070" w:rsidRDefault="00DE4070">
          <w:pPr>
            <w:widowControl w:val="0"/>
            <w:spacing w:after="0" w:line="276" w:lineRule="auto"/>
            <w:ind w:hanging="2"/>
            <w:rPr>
              <w:color w:val="000000"/>
              <w:sz w:val="20"/>
              <w:szCs w:val="20"/>
            </w:rPr>
          </w:pPr>
        </w:p>
      </w:tc>
      <w:tc>
        <w:tcPr>
          <w:tcW w:w="2430" w:type="pct"/>
          <w:vMerge/>
          <w:vAlign w:val="center"/>
        </w:tcPr>
        <w:p w14:paraId="7EDC1B4C" w14:textId="77777777" w:rsidR="00DE4070" w:rsidRDefault="00DE4070">
          <w:pPr>
            <w:widowControl w:val="0"/>
            <w:spacing w:after="0" w:line="276" w:lineRule="auto"/>
            <w:ind w:hanging="2"/>
            <w:rPr>
              <w:rFonts w:cs="Arial"/>
              <w:color w:val="000000"/>
              <w:sz w:val="20"/>
              <w:szCs w:val="20"/>
            </w:rPr>
          </w:pPr>
        </w:p>
      </w:tc>
      <w:tc>
        <w:tcPr>
          <w:tcW w:w="1094" w:type="pct"/>
          <w:vAlign w:val="center"/>
        </w:tcPr>
        <w:p w14:paraId="5D102745" w14:textId="77777777" w:rsidR="00DE4070" w:rsidRDefault="00000000">
          <w:pPr>
            <w:tabs>
              <w:tab w:val="center" w:pos="4252"/>
              <w:tab w:val="right" w:pos="8504"/>
            </w:tabs>
            <w:spacing w:after="0"/>
            <w:ind w:hanging="2"/>
            <w:jc w:val="left"/>
            <w:rPr>
              <w:rFonts w:eastAsia="Calibri" w:cs="Arial"/>
              <w:color w:val="000000"/>
              <w:sz w:val="20"/>
              <w:szCs w:val="20"/>
            </w:rPr>
          </w:pPr>
          <w:r>
            <w:rPr>
              <w:rFonts w:eastAsia="Calibri" w:cs="Arial"/>
              <w:color w:val="000000"/>
              <w:sz w:val="20"/>
              <w:szCs w:val="20"/>
            </w:rPr>
            <w:t>Versión: 2</w:t>
          </w:r>
        </w:p>
      </w:tc>
      <w:tc>
        <w:tcPr>
          <w:tcW w:w="822" w:type="pct"/>
          <w:vMerge/>
        </w:tcPr>
        <w:p w14:paraId="4FBF7B3A" w14:textId="77777777" w:rsidR="00DE4070" w:rsidRDefault="00DE4070">
          <w:pPr>
            <w:widowControl w:val="0"/>
            <w:spacing w:after="0" w:line="276" w:lineRule="auto"/>
            <w:ind w:hanging="2"/>
            <w:rPr>
              <w:rFonts w:ascii="Calibri" w:eastAsia="Calibri" w:hAnsi="Calibri" w:cs="Calibri"/>
              <w:color w:val="000000"/>
              <w:sz w:val="20"/>
              <w:szCs w:val="20"/>
            </w:rPr>
          </w:pPr>
        </w:p>
      </w:tc>
    </w:tr>
    <w:tr w:rsidR="00DE4070" w14:paraId="0AE592AC" w14:textId="77777777">
      <w:tblPrEx>
        <w:tblCellMar>
          <w:left w:w="108" w:type="dxa"/>
          <w:right w:w="108" w:type="dxa"/>
        </w:tblCellMar>
      </w:tblPrEx>
      <w:trPr>
        <w:trHeight w:val="60"/>
        <w:jc w:val="center"/>
      </w:trPr>
      <w:tc>
        <w:tcPr>
          <w:tcW w:w="654" w:type="pct"/>
          <w:vMerge/>
        </w:tcPr>
        <w:p w14:paraId="62FEE453" w14:textId="77777777" w:rsidR="00DE4070" w:rsidRDefault="00DE4070">
          <w:pPr>
            <w:widowControl w:val="0"/>
            <w:spacing w:after="0" w:line="276" w:lineRule="auto"/>
            <w:ind w:hanging="2"/>
            <w:rPr>
              <w:rFonts w:ascii="Calibri" w:eastAsia="Calibri" w:hAnsi="Calibri" w:cs="Calibri"/>
              <w:color w:val="000000"/>
              <w:sz w:val="20"/>
              <w:szCs w:val="20"/>
            </w:rPr>
          </w:pPr>
        </w:p>
      </w:tc>
      <w:tc>
        <w:tcPr>
          <w:tcW w:w="2430" w:type="pct"/>
          <w:vMerge w:val="restart"/>
          <w:vAlign w:val="center"/>
        </w:tcPr>
        <w:p w14:paraId="678A3BF6" w14:textId="77777777" w:rsidR="00DE4070" w:rsidRDefault="00000000">
          <w:pPr>
            <w:tabs>
              <w:tab w:val="center" w:pos="4252"/>
              <w:tab w:val="right" w:pos="8504"/>
            </w:tabs>
            <w:spacing w:after="0"/>
            <w:ind w:hanging="2"/>
            <w:jc w:val="center"/>
            <w:rPr>
              <w:rFonts w:cs="Arial"/>
              <w:color w:val="000000"/>
              <w:sz w:val="20"/>
              <w:szCs w:val="20"/>
            </w:rPr>
          </w:pPr>
          <w:r>
            <w:rPr>
              <w:rFonts w:cs="Arial"/>
              <w:color w:val="000000"/>
              <w:sz w:val="20"/>
              <w:szCs w:val="20"/>
            </w:rPr>
            <w:t>E.S.E HOSPITAL REGIONAL CENTRO</w:t>
          </w:r>
        </w:p>
      </w:tc>
      <w:tc>
        <w:tcPr>
          <w:tcW w:w="1094" w:type="pct"/>
          <w:vAlign w:val="center"/>
        </w:tcPr>
        <w:p w14:paraId="3D2B3737" w14:textId="77777777" w:rsidR="00DE4070" w:rsidRDefault="00000000">
          <w:pPr>
            <w:tabs>
              <w:tab w:val="center" w:pos="4252"/>
              <w:tab w:val="right" w:pos="8504"/>
            </w:tabs>
            <w:spacing w:after="0"/>
            <w:ind w:hanging="2"/>
            <w:jc w:val="left"/>
            <w:rPr>
              <w:rFonts w:eastAsia="Calibri" w:cs="Arial"/>
              <w:color w:val="000000"/>
              <w:sz w:val="20"/>
              <w:szCs w:val="20"/>
            </w:rPr>
          </w:pPr>
          <w:r>
            <w:rPr>
              <w:rFonts w:eastAsia="Calibri" w:cs="Arial"/>
              <w:color w:val="000000"/>
              <w:sz w:val="20"/>
              <w:szCs w:val="20"/>
            </w:rPr>
            <w:t xml:space="preserve">Fecha: </w:t>
          </w:r>
          <w:proofErr w:type="gramStart"/>
          <w:r>
            <w:rPr>
              <w:rFonts w:eastAsia="Calibri" w:cs="Arial"/>
              <w:color w:val="000000"/>
              <w:sz w:val="20"/>
              <w:szCs w:val="20"/>
            </w:rPr>
            <w:t>Agosto</w:t>
          </w:r>
          <w:proofErr w:type="gramEnd"/>
          <w:r>
            <w:rPr>
              <w:rFonts w:eastAsia="Calibri" w:cs="Arial"/>
              <w:color w:val="000000"/>
              <w:sz w:val="20"/>
              <w:szCs w:val="20"/>
            </w:rPr>
            <w:t xml:space="preserve"> 2024</w:t>
          </w:r>
        </w:p>
      </w:tc>
      <w:tc>
        <w:tcPr>
          <w:tcW w:w="822" w:type="pct"/>
          <w:vMerge/>
        </w:tcPr>
        <w:p w14:paraId="3DF21392" w14:textId="77777777" w:rsidR="00DE4070" w:rsidRDefault="00DE4070">
          <w:pPr>
            <w:widowControl w:val="0"/>
            <w:spacing w:after="0" w:line="276" w:lineRule="auto"/>
            <w:ind w:hanging="2"/>
            <w:rPr>
              <w:rFonts w:ascii="Calibri" w:eastAsia="Calibri" w:hAnsi="Calibri" w:cs="Calibri"/>
              <w:color w:val="000000"/>
              <w:sz w:val="20"/>
              <w:szCs w:val="20"/>
            </w:rPr>
          </w:pPr>
        </w:p>
      </w:tc>
    </w:tr>
    <w:tr w:rsidR="00DE4070" w14:paraId="55AB004C" w14:textId="77777777">
      <w:tblPrEx>
        <w:tblCellMar>
          <w:left w:w="108" w:type="dxa"/>
          <w:right w:w="108" w:type="dxa"/>
        </w:tblCellMar>
      </w:tblPrEx>
      <w:trPr>
        <w:trHeight w:val="60"/>
        <w:jc w:val="center"/>
      </w:trPr>
      <w:tc>
        <w:tcPr>
          <w:tcW w:w="654" w:type="pct"/>
          <w:vMerge/>
        </w:tcPr>
        <w:p w14:paraId="243880AA" w14:textId="77777777" w:rsidR="00DE4070" w:rsidRDefault="00DE4070">
          <w:pPr>
            <w:widowControl w:val="0"/>
            <w:spacing w:after="0" w:line="276" w:lineRule="auto"/>
            <w:ind w:hanging="2"/>
            <w:rPr>
              <w:rFonts w:ascii="Calibri" w:eastAsia="Calibri" w:hAnsi="Calibri" w:cs="Calibri"/>
              <w:color w:val="000000"/>
              <w:sz w:val="20"/>
              <w:szCs w:val="20"/>
            </w:rPr>
          </w:pPr>
        </w:p>
      </w:tc>
      <w:tc>
        <w:tcPr>
          <w:tcW w:w="2430" w:type="pct"/>
          <w:vMerge/>
          <w:vAlign w:val="center"/>
        </w:tcPr>
        <w:p w14:paraId="26ACCBBB" w14:textId="77777777" w:rsidR="00DE4070" w:rsidRDefault="00DE4070">
          <w:pPr>
            <w:widowControl w:val="0"/>
            <w:spacing w:after="0" w:line="276" w:lineRule="auto"/>
            <w:ind w:hanging="2"/>
            <w:rPr>
              <w:rFonts w:eastAsia="Calibri" w:cs="Arial"/>
              <w:color w:val="000000"/>
              <w:sz w:val="20"/>
              <w:szCs w:val="20"/>
            </w:rPr>
          </w:pPr>
        </w:p>
      </w:tc>
      <w:tc>
        <w:tcPr>
          <w:tcW w:w="1094" w:type="pct"/>
          <w:vAlign w:val="center"/>
        </w:tcPr>
        <w:p w14:paraId="4E1093D5" w14:textId="77777777" w:rsidR="00DE4070" w:rsidRDefault="00000000">
          <w:pPr>
            <w:tabs>
              <w:tab w:val="center" w:pos="4252"/>
              <w:tab w:val="right" w:pos="8504"/>
            </w:tabs>
            <w:spacing w:after="0"/>
            <w:ind w:hanging="2"/>
            <w:jc w:val="left"/>
            <w:rPr>
              <w:rFonts w:eastAsia="Calibri" w:cs="Arial"/>
              <w:color w:val="000000"/>
              <w:sz w:val="20"/>
              <w:szCs w:val="20"/>
            </w:rPr>
          </w:pPr>
          <w:r>
            <w:rPr>
              <w:rFonts w:eastAsia="Calibri" w:cs="Arial"/>
              <w:color w:val="000000"/>
              <w:sz w:val="20"/>
              <w:szCs w:val="20"/>
            </w:rPr>
            <w:t>Pag.:</w:t>
          </w:r>
          <w:r>
            <w:rPr>
              <w:rFonts w:eastAsia="Calibri" w:cs="Arial"/>
              <w:color w:val="000000"/>
              <w:sz w:val="20"/>
              <w:szCs w:val="20"/>
            </w:rPr>
            <w:fldChar w:fldCharType="begin"/>
          </w:r>
          <w:r>
            <w:rPr>
              <w:rFonts w:eastAsia="Calibri" w:cs="Arial"/>
              <w:color w:val="000000"/>
              <w:sz w:val="20"/>
              <w:szCs w:val="20"/>
            </w:rPr>
            <w:instrText>PAGE   \* MERGEFORMAT</w:instrText>
          </w:r>
          <w:r>
            <w:rPr>
              <w:rFonts w:eastAsia="Calibri" w:cs="Arial"/>
              <w:color w:val="000000"/>
              <w:sz w:val="20"/>
              <w:szCs w:val="20"/>
            </w:rPr>
            <w:fldChar w:fldCharType="separate"/>
          </w:r>
          <w:r>
            <w:rPr>
              <w:rFonts w:eastAsia="Calibri" w:cs="Arial"/>
              <w:color w:val="000000"/>
              <w:sz w:val="20"/>
              <w:szCs w:val="20"/>
            </w:rPr>
            <w:t>1</w:t>
          </w:r>
          <w:r>
            <w:rPr>
              <w:rFonts w:eastAsia="Calibri" w:cs="Arial"/>
              <w:color w:val="000000"/>
              <w:sz w:val="20"/>
              <w:szCs w:val="20"/>
            </w:rPr>
            <w:fldChar w:fldCharType="end"/>
          </w:r>
        </w:p>
      </w:tc>
      <w:tc>
        <w:tcPr>
          <w:tcW w:w="822" w:type="pct"/>
          <w:vMerge/>
        </w:tcPr>
        <w:p w14:paraId="6D04367B" w14:textId="77777777" w:rsidR="00DE4070" w:rsidRDefault="00DE4070">
          <w:pPr>
            <w:widowControl w:val="0"/>
            <w:spacing w:after="0" w:line="276" w:lineRule="auto"/>
            <w:ind w:hanging="2"/>
            <w:rPr>
              <w:rFonts w:ascii="Calibri" w:eastAsia="Calibri" w:hAnsi="Calibri" w:cs="Calibri"/>
              <w:color w:val="000000"/>
              <w:sz w:val="20"/>
              <w:szCs w:val="20"/>
            </w:rPr>
          </w:pPr>
        </w:p>
      </w:tc>
    </w:tr>
  </w:tbl>
  <w:p w14:paraId="1C3747F1" w14:textId="77777777" w:rsidR="00DE4070" w:rsidRDefault="00DE407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7C3"/>
    <w:rsid w:val="000563F6"/>
    <w:rsid w:val="00094768"/>
    <w:rsid w:val="00102157"/>
    <w:rsid w:val="00126A1F"/>
    <w:rsid w:val="00147C18"/>
    <w:rsid w:val="0015414C"/>
    <w:rsid w:val="00173B02"/>
    <w:rsid w:val="001E7C52"/>
    <w:rsid w:val="0023289C"/>
    <w:rsid w:val="002355C4"/>
    <w:rsid w:val="00242F16"/>
    <w:rsid w:val="00253C95"/>
    <w:rsid w:val="002B3A7A"/>
    <w:rsid w:val="003079BB"/>
    <w:rsid w:val="00323C18"/>
    <w:rsid w:val="003451F7"/>
    <w:rsid w:val="003915B3"/>
    <w:rsid w:val="003B5C75"/>
    <w:rsid w:val="003F311D"/>
    <w:rsid w:val="00405478"/>
    <w:rsid w:val="004705D9"/>
    <w:rsid w:val="00484C4D"/>
    <w:rsid w:val="004B3B04"/>
    <w:rsid w:val="004B6CD9"/>
    <w:rsid w:val="004D6A9D"/>
    <w:rsid w:val="004E0C35"/>
    <w:rsid w:val="004E19FB"/>
    <w:rsid w:val="005206D4"/>
    <w:rsid w:val="00524590"/>
    <w:rsid w:val="005A45A3"/>
    <w:rsid w:val="005B243F"/>
    <w:rsid w:val="005B6C48"/>
    <w:rsid w:val="005E6D37"/>
    <w:rsid w:val="005F4B01"/>
    <w:rsid w:val="005F79C5"/>
    <w:rsid w:val="00606C0A"/>
    <w:rsid w:val="00624A6C"/>
    <w:rsid w:val="00640A3A"/>
    <w:rsid w:val="0066029F"/>
    <w:rsid w:val="00665D08"/>
    <w:rsid w:val="006719F1"/>
    <w:rsid w:val="00696C3A"/>
    <w:rsid w:val="006B0744"/>
    <w:rsid w:val="006B4C97"/>
    <w:rsid w:val="006B6D79"/>
    <w:rsid w:val="00724999"/>
    <w:rsid w:val="007A1F0F"/>
    <w:rsid w:val="007E0CB5"/>
    <w:rsid w:val="007E371E"/>
    <w:rsid w:val="007E7A56"/>
    <w:rsid w:val="00801B92"/>
    <w:rsid w:val="008B160D"/>
    <w:rsid w:val="008B4C10"/>
    <w:rsid w:val="008C15A3"/>
    <w:rsid w:val="008C6F62"/>
    <w:rsid w:val="008D0AC6"/>
    <w:rsid w:val="008D6EEF"/>
    <w:rsid w:val="008E3B77"/>
    <w:rsid w:val="009332A9"/>
    <w:rsid w:val="0093332B"/>
    <w:rsid w:val="0093587C"/>
    <w:rsid w:val="00965F51"/>
    <w:rsid w:val="009905FE"/>
    <w:rsid w:val="009B45F7"/>
    <w:rsid w:val="009D67C3"/>
    <w:rsid w:val="009F23D5"/>
    <w:rsid w:val="00A018CA"/>
    <w:rsid w:val="00A03FD1"/>
    <w:rsid w:val="00A22772"/>
    <w:rsid w:val="00A52736"/>
    <w:rsid w:val="00A8053B"/>
    <w:rsid w:val="00A86C95"/>
    <w:rsid w:val="00AC02D5"/>
    <w:rsid w:val="00B13B7C"/>
    <w:rsid w:val="00B1420D"/>
    <w:rsid w:val="00B26974"/>
    <w:rsid w:val="00B777DB"/>
    <w:rsid w:val="00B97CA8"/>
    <w:rsid w:val="00BB4C1B"/>
    <w:rsid w:val="00BC1594"/>
    <w:rsid w:val="00BD50D1"/>
    <w:rsid w:val="00BF10B0"/>
    <w:rsid w:val="00C64230"/>
    <w:rsid w:val="00C947D6"/>
    <w:rsid w:val="00C95256"/>
    <w:rsid w:val="00CA3F01"/>
    <w:rsid w:val="00CB786B"/>
    <w:rsid w:val="00CC5003"/>
    <w:rsid w:val="00CC67F9"/>
    <w:rsid w:val="00CD0C5B"/>
    <w:rsid w:val="00CE1A9C"/>
    <w:rsid w:val="00CE37F7"/>
    <w:rsid w:val="00CF66EB"/>
    <w:rsid w:val="00D47E14"/>
    <w:rsid w:val="00D51A48"/>
    <w:rsid w:val="00D52CA1"/>
    <w:rsid w:val="00D92C91"/>
    <w:rsid w:val="00DA588F"/>
    <w:rsid w:val="00DB3A8F"/>
    <w:rsid w:val="00DD5FDD"/>
    <w:rsid w:val="00DE4070"/>
    <w:rsid w:val="00E06441"/>
    <w:rsid w:val="00E332F4"/>
    <w:rsid w:val="00E3577F"/>
    <w:rsid w:val="00E55AD1"/>
    <w:rsid w:val="00E8158D"/>
    <w:rsid w:val="00EC6E60"/>
    <w:rsid w:val="00ED2745"/>
    <w:rsid w:val="00EF6B23"/>
    <w:rsid w:val="00F0434F"/>
    <w:rsid w:val="00F055D9"/>
    <w:rsid w:val="00F1071B"/>
    <w:rsid w:val="00F37E90"/>
    <w:rsid w:val="00F5680A"/>
    <w:rsid w:val="00F816BF"/>
    <w:rsid w:val="00FE02F1"/>
    <w:rsid w:val="00FE208F"/>
    <w:rsid w:val="00FE6103"/>
    <w:rsid w:val="00FE6BD7"/>
    <w:rsid w:val="4D215D21"/>
    <w:rsid w:val="667D3839"/>
    <w:rsid w:val="6B162CBB"/>
    <w:rsid w:val="7890750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9402"/>
  <w15:docId w15:val="{597F8497-119D-4292-BF40-B9CC1EEA0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jc w:val="both"/>
    </w:pPr>
    <w:rPr>
      <w:rFonts w:ascii="Arial" w:hAnsi="Arial"/>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uiPriority w:val="20"/>
    <w:qFormat/>
    <w:rPr>
      <w:i/>
      <w:iCs/>
    </w:rPr>
  </w:style>
  <w:style w:type="character" w:styleId="Hipervnculo">
    <w:name w:val="Hyperlink"/>
    <w:rPr>
      <w:color w:val="0000FF"/>
      <w:u w:val="single"/>
    </w:rPr>
  </w:style>
  <w:style w:type="paragraph" w:styleId="Textodeglobo">
    <w:name w:val="Balloon Text"/>
    <w:basedOn w:val="Normal"/>
    <w:link w:val="TextodegloboCar"/>
    <w:uiPriority w:val="99"/>
    <w:semiHidden/>
    <w:unhideWhenUsed/>
    <w:qFormat/>
    <w:pPr>
      <w:spacing w:after="0"/>
    </w:pPr>
    <w:rPr>
      <w:rFonts w:ascii="Segoe UI" w:hAnsi="Segoe UI" w:cs="Segoe UI"/>
      <w:sz w:val="18"/>
      <w:szCs w:val="18"/>
    </w:rPr>
  </w:style>
  <w:style w:type="paragraph" w:styleId="Encabezado">
    <w:name w:val="header"/>
    <w:basedOn w:val="Normal"/>
    <w:link w:val="EncabezadoCar"/>
    <w:uiPriority w:val="99"/>
    <w:unhideWhenUsed/>
    <w:qFormat/>
    <w:pPr>
      <w:tabs>
        <w:tab w:val="center" w:pos="4419"/>
        <w:tab w:val="right" w:pos="8838"/>
      </w:tabs>
      <w:spacing w:after="0"/>
    </w:pPr>
  </w:style>
  <w:style w:type="paragraph" w:styleId="Piedepgina">
    <w:name w:val="footer"/>
    <w:basedOn w:val="Normal"/>
    <w:link w:val="PiedepginaCar"/>
    <w:uiPriority w:val="99"/>
    <w:unhideWhenUsed/>
    <w:qFormat/>
    <w:pPr>
      <w:tabs>
        <w:tab w:val="center" w:pos="4419"/>
        <w:tab w:val="right" w:pos="8838"/>
      </w:tabs>
      <w:spacing w:after="0"/>
    </w:p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qFormat/>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paragraph" w:styleId="Prrafodelista">
    <w:name w:val="List Paragraph"/>
    <w:basedOn w:val="Normal"/>
    <w:link w:val="PrrafodelistaCar"/>
    <w:uiPriority w:val="34"/>
    <w:qFormat/>
    <w:pPr>
      <w:ind w:left="720"/>
      <w:contextualSpacing/>
    </w:pPr>
  </w:style>
  <w:style w:type="character" w:customStyle="1" w:styleId="PrrafodelistaCar">
    <w:name w:val="Párrafo de lista Car"/>
    <w:link w:val="Prrafodelista"/>
    <w:uiPriority w:val="34"/>
    <w:qFormat/>
    <w:rPr>
      <w:rFonts w:ascii="Arial" w:hAnsi="Arial"/>
    </w:rPr>
  </w:style>
  <w:style w:type="character" w:customStyle="1" w:styleId="Mencinsinresolver1">
    <w:name w:val="Mención sin resolver1"/>
    <w:basedOn w:val="Fuentedeprrafopredeter"/>
    <w:uiPriority w:val="99"/>
    <w:semiHidden/>
    <w:unhideWhenUsed/>
    <w:rPr>
      <w:color w:val="605E5C"/>
      <w:shd w:val="clear" w:color="auto" w:fill="E1DFDD"/>
    </w:rPr>
  </w:style>
  <w:style w:type="paragraph" w:styleId="Sinespaciado">
    <w:name w:val="No Spacing"/>
    <w:uiPriority w:val="1"/>
    <w:qFormat/>
    <w:rPr>
      <w:sz w:val="22"/>
      <w:szCs w:val="22"/>
      <w:lang w:eastAsia="en-US"/>
    </w:rPr>
  </w:style>
  <w:style w:type="character" w:styleId="Mencinsinresolver">
    <w:name w:val="Unresolved Mention"/>
    <w:basedOn w:val="Fuentedeprrafopredeter"/>
    <w:uiPriority w:val="99"/>
    <w:semiHidden/>
    <w:unhideWhenUsed/>
    <w:rsid w:val="00173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esecentro.com" TargetMode="External"/><Relationship Id="rId1" Type="http://schemas.openxmlformats.org/officeDocument/2006/relationships/hyperlink" Target="mailto:secretariageneral@centroese.gov.c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250</Words>
  <Characters>1381</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 Patiño Flórez</dc:creator>
  <cp:lastModifiedBy>Natalia Angarita</cp:lastModifiedBy>
  <cp:revision>2</cp:revision>
  <cp:lastPrinted>2021-03-08T19:29:00Z</cp:lastPrinted>
  <dcterms:created xsi:type="dcterms:W3CDTF">2026-10-06T22:41:00Z</dcterms:created>
  <dcterms:modified xsi:type="dcterms:W3CDTF">2026-10-06T22:41:00Z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81F5C677738245DEBB240246E264F419_12</vt:lpwstr>
  </property>
</Properties>
</file>