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28"/>
        </w:rPr>
        <w:t>GUÍA OPERATIVA Y PENDIENTES</w:t>
      </w:r>
    </w:p>
    <w:p>
      <w:pPr>
        <w:spacing w:after="0" w:before="0"/>
        <w:jc w:val="center"/>
      </w:pPr>
      <w:r>
        <w:rPr>
          <w:b w:val="0"/>
          <w:i w:val="0"/>
        </w:rPr>
        <w:t>Caso Carmen Socorro Barón Galindo vs. María del Pilar Barón G. – Ejecutivo singular de mínima cuantía (Cúcuta)</w:t>
      </w:r>
    </w:p>
    <w:p>
      <w:pPr>
        <w:spacing w:after="240" w:before="0"/>
        <w:jc w:val="center"/>
      </w:pPr>
      <w:r>
        <w:rPr>
          <w:b w:val="0"/>
          <w:i/>
        </w:rPr>
        <w:t>Documento de trabajo interno – 30 de septiembre de 2026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1. DECISIONES TOMADAS (RESUMEN EJECUTIVO)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1. </w:t>
      </w:r>
      <w:r>
        <w:rPr>
          <w:b/>
          <w:i w:val="0"/>
        </w:rPr>
        <w:t>La letra NO puede presentarse en blanco.</w:t>
      </w:r>
      <w:r>
        <w:rPr>
          <w:b w:val="0"/>
          <w:i w:val="0"/>
        </w:rPr>
        <w:t xml:space="preserve"> El art. 622 del C. de Co. autoriza al tenedor a llenar los espacios "antes de presentar el título para el ejercicio del derecho que en él se incorpora". Sin valor, sin vencimiento y sin firma de la giradora el juez niega el mandamiento (art. 430 CGP: la obligación no sería clara ni exigible). Debe llenarse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radicar, exactamente como se indica en el numeral 2.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2. </w:t>
      </w:r>
      <w:r>
        <w:rPr>
          <w:b/>
          <w:i w:val="0"/>
        </w:rPr>
        <w:t>No hay requisito de procedibilidad.</w:t>
      </w:r>
      <w:r>
        <w:rPr>
          <w:b w:val="0"/>
          <w:i w:val="0"/>
        </w:rPr>
        <w:t xml:space="preserve"> La conciliación extrajudicial no es exigible en procesos ejecutivos (el requisito de la Ley 2220 de 2022, art. 67, y antes de la Ley 640 de 2001, art. 35, se limita a procesos declarativos) y, además, se solicitan medidas cautelares. Tampoco se requiere requerimiento previo para constituir en mora: la letra tiene fecha cierta de vencimiento (art. 1608, num. 1, C.C.).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3. </w:t>
      </w:r>
      <w:r>
        <w:rPr>
          <w:b/>
          <w:i w:val="0"/>
        </w:rPr>
        <w:t>Se demanda solo a María del Pilar.</w:t>
      </w:r>
      <w:r>
        <w:rPr>
          <w:b w:val="0"/>
          <w:i w:val="0"/>
        </w:rPr>
        <w:t xml:space="preserve"> Es aceptante y deudora solidaria (arts. 632 y 785 C. de Co.; art. 1571 C.C.), tiene inmueble (matrícula 260-64376) y salario (COMFAORIENTE). Demandar también al sobrino que vive en Europa obligaría a emplazamiento y curador ad litem (arts. 108 y 293 CGP) y retrasaría meses el mandamiento y las medidas. El poder deja abierta la ejecución contra él.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4. </w:t>
      </w:r>
      <w:r>
        <w:rPr>
          <w:b/>
          <w:i w:val="0"/>
        </w:rPr>
        <w:t>Vía y juez:</w:t>
      </w:r>
      <w:r>
        <w:rPr>
          <w:b w:val="0"/>
          <w:i w:val="0"/>
        </w:rPr>
        <w:t xml:space="preserve"> proceso ejecutivo singular de mínima cuantía (capital inferior a 40 SMLMV = $70.036.200 en 2026, con SMLMV de $1.750.905 según Decreto 1469 de 2025), única instancia. En Cúcuta existen Juzgados Municipales de Pequeñas Causas y Competencia Múltiple (Juzgado 001, Calle 16 No. 12-06, barrio La Libertad; Juzgado 002, Ciudadela Juan Atalaya), y por el parágrafo del art. 17 CGP a ellos corresponde la mínima cuantía; por eso los escritos se dirigen al "Juez Municipal de Pequeñas Causas y Competencia Múltiple (o Civil Municipal) de San José de Cúcuta – Reparto". Nota: el Consejo de Estado suspendió en febrero de 2026 el decreto del salario mínimo y luego revocó la suspensión (abril de 2026); la cuantía no se afecta en ningún escenario porque el capital está muy por debajo del límite.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5. </w:t>
      </w:r>
      <w:r>
        <w:rPr>
          <w:b/>
          <w:i w:val="0"/>
        </w:rPr>
        <w:t>Valor de la letra: $21.106.522</w:t>
      </w:r>
      <w:r>
        <w:rPr>
          <w:b w:val="0"/>
          <w:i w:val="0"/>
        </w:rPr>
        <w:t xml:space="preserve"> (ver numeral 3). Es el capital insoluto que se prueba con el desembolso, los abonos registrados y el recibo de Remitly, sin el rubro de $100.000 de la declaración de renta ni el retanqueo que la propia libreta de la clienta acredita a favor del sobrino. Si la clienta confirma que los $2.500.000 del retanqueo sí se entregaron a los deudores, el valor sube a </w:t>
      </w:r>
      <w:r>
        <w:rPr>
          <w:b/>
          <w:i w:val="0"/>
        </w:rPr>
        <w:t>$23.606.522</w:t>
      </w:r>
      <w:r>
        <w:rPr>
          <w:b w:val="0"/>
          <w:i w:val="0"/>
        </w:rPr>
        <w:t xml:space="preserve"> y hay que cambiarlo en la letra, el poder, la demanda y el escrito de medidas (todos los campos están resaltados en amarillo).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6. </w:t>
      </w:r>
      <w:r>
        <w:rPr>
          <w:b/>
          <w:i w:val="0"/>
        </w:rPr>
        <w:t>Intereses:</w:t>
      </w:r>
      <w:r>
        <w:rPr>
          <w:b w:val="0"/>
          <w:i w:val="0"/>
        </w:rPr>
        <w:t xml:space="preserve"> no se pactan intereses de plazo (el plazo es de una semana). Los moratorios corren desde el día siguiente al vencimiento a la tasa máxima legal (1,5 veces el interés bancario corriente, art. 884 C. de Co.), que para el capital de $21.106.522 equivale en septiembre de 2026 a unos $456.000 mensuales (2,1605 % mensual: usura de 29,24 % E.A. según Resolución 1260 del 31 de agosto de 2026 de la Superfinanciera, con IBC de 19,49 %; en agosto era 29,66 %). La tasa de octubre se certifica el 30 de septiembre; por eso los escritos remiten a la tasa máxima legal sin fijar porcentaje.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7. </w:t>
      </w:r>
      <w:r>
        <w:rPr>
          <w:b/>
          <w:i w:val="0"/>
        </w:rPr>
        <w:t>Medidas cautelares en escrito separado</w:t>
      </w:r>
      <w:r>
        <w:rPr>
          <w:b w:val="0"/>
          <w:i w:val="0"/>
        </w:rPr>
        <w:t xml:space="preserve"> (varios despachos lo exigen para que no vaya en el traslado): embargo del inmueble 260-64376 y de la quinta parte del salario que exceda del mínimo; embargo de cuentas opcional.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2. CÓMO LLENAR LA LETRA, CAMPO POR CAMPO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Se usa la misma letra ya firmada por los dos aceptantes (no se cambia de formato). Llenar con el mismo bolígrafo, letra clara, sin tachones ni enmendaduras. El valor en números y en letras debe coincidir. Escanear después </w:t>
      </w:r>
      <w:r>
        <w:rPr>
          <w:b/>
          <w:i w:val="0"/>
        </w:rPr>
        <w:t>por ambas caras</w:t>
      </w:r>
      <w:r>
        <w:rPr>
          <w:b w:val="0"/>
          <w:i w:val="0"/>
        </w:rPr>
        <w:t xml:space="preserve"> en PDF legible.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Campo del formato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Qué escribir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Por qué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No.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001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Número de identificación del título; cualquier número sirve, pero debe coincidir con la demanda.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Fecha: (fecha de creación)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 de octubre de 2026</w:t>
            </w:r>
            <w:r>
              <w:rPr>
                <w:b w:val="0"/>
                <w:i w:val="0"/>
                <w:sz w:val="19"/>
              </w:rPr>
              <w:t xml:space="preserve"> (o el día real en que la clienta firme; nunca una fecha anterior a la firma)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Es la fecha en que el título queda creado (firma de la giradora). Una fecha anterior a la real sería un antedatado indebido.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Señor(es):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MARÍA DEL PILAR BARÓN </w:t>
            </w:r>
            <w:r>
              <w:rPr>
                <w:b/>
                <w:i w:val="0"/>
                <w:sz w:val="19"/>
                <w:highlight w:val="yellow"/>
              </w:rPr>
              <w:t>GALINDO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b/>
                <w:i w:val="0"/>
                <w:sz w:val="19"/>
                <w:highlight w:val="yellow"/>
              </w:rPr>
              <w:t>NOMBRE COMPLETO DEL GIRADO 1</w:t>
            </w:r>
            <w:r>
              <w:rPr>
                <w:b w:val="0"/>
                <w:i w:val="0"/>
                <w:sz w:val="19"/>
              </w:rPr>
              <w:t xml:space="preserve"> (C.C. 1.090.487.307)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Nombre de los girados (aceptantes). Si no se obtiene el nombre del girado 1, escribir "el aceptante identificado con C.C. 1.090.487.307"; la ejecución contra María del Pilar no depende de ese dato.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 servirá(n) pagar solidariamente en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San José de Cúcuta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Lugar de pago: fija la competencia territorial (art. 28, num. 3, CGP).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El ___ de ___ del año ___ (vencimiento)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8 de octubre de 2026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Fecha cierta de vencimiento (art. 673, num. 2, C. de Co.). NO escribir "a la vista" (activaría el año del art. 692 y los moratorios solo correrían desde la presentación). Radicar la demanda </w:t>
            </w:r>
            <w:r>
              <w:rPr>
                <w:b/>
                <w:i w:val="0"/>
                <w:sz w:val="19"/>
              </w:rPr>
              <w:t>a partir del 9 de octubre de 2026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 la orden de: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CARMEN SOCORRO BARÓN GALINDO, C.C. 27.682.014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Beneficiaria; la acreedora puede ser giradora y beneficiaria (art. 676 C. de Co.).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La cantidad de: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VEINTIÚN MILLONES CIENTO SEIS MIL QUINIENTOS VEINTIDÓS pesos m/l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Valor en letras (art. 623 C. de Co.: en caso de diferencia prevalece la cifra en letras).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Por $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21.106.522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Valor en números, igual al anterior.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en ___ cuota(s) de $ ___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 (una) cuota de $21.106.522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Una sola cuota al vencimiento.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más intereses durante el plazo del ___ % mensual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 (cero) %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 se cobran intereses de plazo. El texto preimpreso "y de mora a la tasa máxima legal autorizada" se deja intacto.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DIRECCIÓN ACEPTANTES – 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Calle 22 A # 4-101, Apto 102, Prados del Norte, Cúcuta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Dirección de María del Pilar (la misma del inmueble). Casilla 1: la del girado 1 si se conoce; si no, dejar en blanco.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TELÉFONO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Celular de María del Pilar, si se conoce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Opcional.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Atentamente, (GIRADOR)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Firma de CARMEN SOCORRO BARÓN GALINDO</w:t>
            </w:r>
            <w:r>
              <w:rPr>
                <w:b w:val="0"/>
                <w:i w:val="0"/>
                <w:sz w:val="19"/>
              </w:rPr>
              <w:t xml:space="preserve"> y debajo "C.C. 27.682.014"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Indispensable.</w:t>
            </w:r>
            <w:r>
              <w:rPr>
                <w:b w:val="0"/>
                <w:i w:val="0"/>
                <w:sz w:val="19"/>
              </w:rPr>
              <w:t xml:space="preserve"> Es la firma del creador del título (art. 621, num. 2, C. de Co.). Sin ella el título es atacable; con ella, la STC4164-2019 y el art. 676 cierran la discusión.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Casillas "ACEPTADA – GIRADOS" 1 y 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 tocar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Ya están diligenciadas y firmadas por los aceptantes.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b/>
          <w:i w:val="0"/>
        </w:rPr>
        <w:t>Cronograma sugerido:</w:t>
      </w:r>
      <w:r>
        <w:rPr>
          <w:b w:val="0"/>
          <w:i w:val="0"/>
        </w:rPr>
        <w:t xml:space="preserve"> 1 de octubre: la clienta firma la letra como giradora y firma el poder (y lo envía desde su correo). 1 a 3 de octubre: obtener el certificado de tradición de la matrícula 260-64376 y revisar anotaciones. 8 de octubre: vencimiento. </w:t>
      </w:r>
      <w:r>
        <w:rPr>
          <w:b/>
          <w:i w:val="0"/>
        </w:rPr>
        <w:t>9 de octubre o después: radicar</w:t>
      </w:r>
      <w:r>
        <w:rPr>
          <w:b w:val="0"/>
          <w:i w:val="0"/>
        </w:rPr>
        <w:t xml:space="preserve"> demanda, poder, escrito de medidas y anexos por el canal digital de la Rama Judicial para Cúcuta, y entregar el original físico de la letra al juzgado cuando lo pida (llevarlo el día de la radicación si se radica en ventanilla).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3. VALOR A CONSIGNAR EN LA LETRA: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Escenario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Cálculo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 – Recomendado (capital insoluto conservador)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$29.000.000 – $4.778.118 (7 abonos de Camilo) – $615.360 (Remitly 10-ago-2026) – $2.500.000 (abonos de María del Pilar, mayo y junio de 2025)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$21.106.522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 – Si la clienta confirma que el retanqueo de $2.500.000 (sept. 2025) se entregó a los deudores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Escenario A + $2.500.000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$23.606.522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 – Cifra de la liquidación provisional (6.1)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Escenario B + $100.000 de la declaración de renta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$23.706.522 (no recomendado: incluye un rubro que no es capital del mutuo y expone la letra a la excepción de llenado abusivo)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b w:val="0"/>
          <w:i w:val="0"/>
        </w:rPr>
        <w:t>Los $100.000 de la declaración de renta, los €460 debidos a Martha ($1.978.000) y los intereses que la clienta paga al banco no van en la letra: son rubros ajenos al capital prestado o acreencias de terceros, y su inclusión sería exactamente el "llenado contrario a las instrucciones" que la deudora puede probar con la propia libreta de la clienta (Corte Constitucional T-673 de 2010 y T-060 de 2012). Los intereses moratorios al tope legal compensan en adelante el costo financiero.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4. PENDIENTES CONCRETOS (QUIÉN Y QUÉ)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79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Pendiente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Responsable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Para qué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Preguntar a la clienta si los $2.500.000 del retanqueo se los entregó a Camilo o a María del Pilar, o los conservó ella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Define el valor de la letra: $21.106.522 (no entregado) o $23.606.522 (entregado)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Confirmar el segundo apellido de María del Pilar (en la letra solo dice "Barón G."). Fuente inmediata: el certificado de tradición de la matrícula 260-64376 muestra el nombre completo del titular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Art. 82, num. 2, CGP: nombre completo de las partes; si falta, inadmisión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 xml:space="preserve">Obtener certificado de tradición y libertad de la matrícula 260-64376 (en línea, certificados.supernotariado.gov.co) y revisar: titular actual, hipotecas, embargos previos, </w:t>
            </w:r>
            <w:r>
              <w:rPr>
                <w:b/>
                <w:i w:val="0"/>
                <w:sz w:val="18"/>
              </w:rPr>
              <w:t>afectación a vivienda familiar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b/>
                <w:i w:val="0"/>
                <w:sz w:val="18"/>
              </w:rPr>
              <w:t>patrimonio de familia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Anexo de la demanda y del escrito de medidas. Si hay afectación o patrimonio de familia, el embargo del inmueble es improcedente (Ley 258/1996, art. 7; Ley 495/1999; CSJ STC2370-2021) y hay que retirarlo del escrito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Datos de la clienta: dirección de residencia, celular y correo electrónico propio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Poder por mensaje de datos (art. 5, Ley 2213/2022) y notificaciones. Si no tiene correo, el poder se otorga con presentación personal ante notario (página 2 del poder)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Firma de la clienta como giradora en la letra y firma del poder; envío del poder en PDF desde su correo al correo djbc23@hotmail.com (guardar ese correo: se imprime y se anexa)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Clienta / 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Sin firma de giradora no hay título; sin correo de remisión, los juzgados inadmiten el poder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Nombre completo del girado 1 (Camilo), C.C. 1.090.487.307 (preguntar a la clienta; la firma parece leerse "J. C. Gutiérrez B.", pero no es legible)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Campo "Señor(es)" de la letra y hecho 2 de la demanda. No es indispensable para ejecutar a María del Pilar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Obtener el certificado de existencia y representación de COMFAORIENTE (Cámara de Comercio de Cúcuta) para tomar el correo de notificaciones judiciales; NIT y dirección ya verificados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Oficio de embargo de salario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Confirmar que el correo djbc23@hotmail.com es el inscrito en el Registro Nacional de Abogados (SIRNA)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Dr. Bernal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Los juzgados inadmiten cuando el correo del poder no coincide con el del RNA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Correo electrónico y celular de María del Pilar, si la clienta los conoce, y cómo los obtuvo (chats previos)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Notificación por correo (art. 8, Ley 2213/2022) exige juramento, forma de obtención y evidencias. Si no se conocen, se mantiene la manifestación de desconocimiento ya incluida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Copia de la cédula de la clienta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Anexo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Certificación o pantallazo de la Superintendencia Financiera con el interés bancario corriente del mes de radicación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Anexo opcional; facilita la liquidación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Guardar y organizar la prueba del negocio causal: desembolso del crédito de libranza (marzo 2023), transferencias o entregas a los deudores, chats de WhatsApp, libreta, recibos de Remitly, extracto de aplicación de pagos del Banco de Bogotá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Clienta / Abogados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 se anexan a la demanda; se usan para replicar las excepciones de negocio causal (art. 784, num. 12, C. de Co.), pago o llenado abusivo</w:t>
            </w:r>
          </w:p>
        </w:tc>
      </w:tr>
    </w:tbl>
    <w:p>
      <w:pPr>
        <w:spacing w:after="80"/>
      </w:pP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5. RIESGOS PREVISTOS Y CÓMO ESTÁN MITIGADOS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Excepción de llenado abusivo (arts. 622 y 784 C. de Co.):</w:t>
      </w:r>
      <w:r>
        <w:rPr>
          <w:b w:val="0"/>
          <w:i w:val="0"/>
        </w:rPr>
        <w:t xml:space="preserve"> la carga de probar que el llenado contrarió las instrucciones es de la deudora (CSJ STC3298-2019, M.P. Luis Armando Tolosa Villabona; Corte Constitucional T-968 de 2011, M.P. Gabriel Eduardo Mendoza Martelo; Tribunal Superior de Cúcuta, TSC(SCF)149-2021). Las instrucciones pueden ser verbales o posteriores; no se requiere carta escrita. Mitigación: consignar exactamente el capital insoluto documentado.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Falta de firma del girador / girador = beneficiaria:</w:t>
      </w:r>
      <w:r>
        <w:rPr>
          <w:b w:val="0"/>
          <w:i w:val="0"/>
        </w:rPr>
        <w:t xml:space="preserve"> resuelto con la firma de la clienta como giradora (art. 621 C. de Co.) y el art. 676; respaldo en CSJ STC4164-2019 (M.P. Ariel Salazar Ramírez).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Denuncia penal por "falsedad" al llenar la letra:</w:t>
      </w:r>
      <w:r>
        <w:rPr>
          <w:b w:val="0"/>
          <w:i w:val="0"/>
        </w:rPr>
        <w:t xml:space="preserve"> la CSJ, Sala Penal, SP018-2023 (rad. 60248, M.P. Diego Eugenio Corredor Beltrán) absolvió a una tenedora que llenó una letra sin instrucciones escritas: no hay falsedad ideológica en documento privado.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Excepciones del negocio causal (art. 784, num. 12):</w:t>
      </w:r>
      <w:r>
        <w:rPr>
          <w:b w:val="0"/>
          <w:i w:val="0"/>
        </w:rPr>
        <w:t xml:space="preserve"> como la acreedora es parte del mutuo, la deudora puede alegar que recibió menos o que pagó; por eso la cifra descuenta todos los abonos conocidos (art. 624 C. de Co.) y se conserva la prueba del desembolso y de las entregas.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Inmueble con afectación a vivienda familiar o patrimonio de familia:</w:t>
      </w:r>
      <w:r>
        <w:rPr>
          <w:b w:val="0"/>
          <w:i w:val="0"/>
        </w:rPr>
        <w:t xml:space="preserve"> se detecta en el certificado de tradición antes de radicar; si existe, se retira esa medida y se concentra la ejecución en el salario y las cuentas (CSJ STC2370-2021; Corte Constitucional C-664 de 1998 y T-468 de 2022).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Embargo de salario:</w:t>
      </w:r>
      <w:r>
        <w:rPr>
          <w:b w:val="0"/>
          <w:i w:val="0"/>
        </w:rPr>
        <w:t xml:space="preserve"> solo la quinta parte del excedente del salario mínimo (arts. 154-156 CST; art. 594, num. 1, CGP; Corte Constitucional T-891 de 2013).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Prescripción:</w:t>
      </w:r>
      <w:r>
        <w:rPr>
          <w:b w:val="0"/>
          <w:i w:val="0"/>
        </w:rPr>
        <w:t xml:space="preserve"> tres años desde el vencimiento (art. 789 C. de Co.); con vencimiento el 8 de octubre de 2026 no hay riesgo.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Original del título:</w:t>
      </w:r>
      <w:r>
        <w:rPr>
          <w:b w:val="0"/>
          <w:i w:val="0"/>
        </w:rPr>
        <w:t xml:space="preserve"> la CSJ (STC2392-2022, M.P. Octavio Augusto Tejeiro Duque) considera exceso ritual exigir el original físico en la etapa inicial bajo la Ley 2213, pero los juzgados de Cúcuta suelen pedirlo antes del mandamiento: llevarlo y entregarlo.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</w:t>
      </w:r>
      <w:r>
        <w:rPr>
          <w:b/>
          <w:i w:val="0"/>
        </w:rPr>
        <w:t>Inadmisión por hechos que no coincidan con la letra:</w:t>
      </w:r>
      <w:r>
        <w:rPr>
          <w:b w:val="0"/>
          <w:i w:val="0"/>
        </w:rPr>
        <w:t xml:space="preserve"> un juzgado de Medellín inadmitió una demanda porque la fecha de la letra en los hechos no coincidía con el título (rad. 2021-00406). Antes de radicar, cotejar cada dato de la letra (número, fechas, valor, lugar) con los hechos 1 a 4 y con la pretensión primera.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6. REVISIÓN DE LA LIQUIDACIÓN PROVISIONAL (31 DE AGOSTO DE 2026)</w:t>
      </w:r>
    </w:p>
    <w:p>
      <w:pPr>
        <w:spacing w:after="120" w:before="0"/>
        <w:jc w:val="both"/>
      </w:pPr>
      <w:r>
        <w:rPr>
          <w:b w:val="0"/>
          <w:i w:val="0"/>
        </w:rPr>
        <w:t>Se verificó la aritmética con hoja de cálculo. Resultados: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Punto de la liquidación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Verificación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Ajuste propuesto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1. Errores de la libreta (suma $4.778.118; $1.300.118; $3.700.118; créditos de Camilo $6.300.118)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Correcto. Los 7 abonos suman $4.778.118.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Ninguno.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2. Cuotas pagadas: 29 × $601.196 = $17.434.684; 12 × $557.071 = $6.684.852; total $24.119.536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Correcto.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Ninguno.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4.1. Cuota de $500.781 al 13,89 % E.A.; 20,77 % E.A. produce $601.196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Correcto (recalculado).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Ninguno.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5.2. Total recibido $7.893.478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Correcto.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Ninguno.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6.1. "Capital insoluto" $23.706.522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Aritmética correcta, pero mezcla dos conceptos: suma $100.000 de la declaración de renta, que es un daño y no capital, y $2.500.000 del retanqueo que la propia libreta acredita a Camilo.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Capital insoluto = $21.106.522 (o $23.606.522 si se prueba la entrega del retanqueo). Eliminar el rubro de $100.000 de la letra; reclamarlo aparte, si acaso.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6.1. Cifra alternativa "$21.206.522 si el retanqueo no se entregó"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Arrastra los $100.000.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Corregir a $21.106.522.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6.3. Recomendación de consignar $23.706.522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Inconsistente con el numeral 9, que ya reconoce el rango $21.106.522 – $23.606.522.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Unificar en $21.106.522 / $23.606.522 según respuesta de la clienta.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7. Tope legal: 19,77 % IBC, 29,66 % usura, 2,1881 % mensual (Res. 1139 de 2026)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Conversión correcta para agosto de 2026. Para septiembre de 2026 rige la Resolución 1260 del 31-ago-2026: IBC 19,49 %, usura 29,24 % (2,1605 % mensual). La de octubre se publica el 30 de septiembre.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Actualizar al mes de radicación; en los escritos no se fija porcentaje.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6.3. Moratorios de $518.732 mensuales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Corresponden a $23.706.522 con la tasa de agosto. Con la tasa de septiembre (2,1605 %): $21.106.522 genera $456.010 mensuales y $23.606.522 genera $510.023.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Actualizar según el valor definitivo y la tasa del mes.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8. Estrategia (demandar a María del Pilar)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Compartida y adoptada.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Confirmar en el certificado de tradición que no haya afectación a vivienda familiar ni patrimonio de familia.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9. Identidad del girado 1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La firma en la casilla 1 no es legible; la liquidación lo llama "Camilo" por el contexto de los chats.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Confirmar nombre completo con la clienta.</w:t>
            </w:r>
          </w:p>
        </w:tc>
      </w:tr>
    </w:tbl>
    <w:p>
      <w:pPr>
        <w:spacing w:after="80"/>
      </w:pP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7. CANAL DE RADICACIÓN Y CONTACTOS ÚTILES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 xml:space="preserve">– Radicación: ventanilla virtual </w:t>
      </w:r>
      <w:r>
        <w:rPr>
          <w:b/>
          <w:i w:val="0"/>
        </w:rPr>
        <w:t>"Demanda en Línea"</w:t>
      </w:r>
      <w:r>
        <w:rPr>
          <w:b w:val="0"/>
          <w:i w:val="0"/>
        </w:rPr>
        <w:t xml:space="preserve"> (procesojudicial.ramajudicial.gov.co/demandaenlinea), implementada por la Dirección Seccional de Cúcuta desde el 1 de abril de 2025 para todas las demandas de Cúcuta, Pamplona, Ocaña y Arauca; se elige la categoría "Civil Municipal Pequeñas Causas y Competencia Múltiple – Mínima cuantía". Soporte: soportedemandaenlinea@deaj.ramajudicial.gov.co. Canal alterno histórico: Oficina Judicial de Cúcuta, ofjudcuc@cendoj.ramajudicial.gov.co (confirmar vigencia). Correos de los despachos: jcivmcu1…10@cendoj.ramajudicial.gov.co; Juzgado 002 de Pequeñas Causas: j02pqccmcuc@cendoj.ramajudicial.gov.co.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>– Certificado de tradición: certificados.supernotariado.gov.co (matrícula 260-64376). ORIP Cúcuta: Avenida 0 No. 9-30, Centro; correo ofiregiscucuta@supernotariado.gov.co; tel. (607) 571 5783.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>– COMFAORIENTE: Caja de Compensación Familiar del Oriente Colombiano, NIT 890.500.675-6, Avenida 2 No. 13-75, Barrio La Playa, Edificio Comfaoriente, Cúcuta; PBX (607) 574 8880. Falta el correo de notificaciones judiciales: tomarlo del certificado de existencia y representación (Cámara de Comercio de Cúcuta).</w:t>
      </w:r>
    </w:p>
    <w:p>
      <w:pPr>
        <w:spacing w:after="120" w:before="0"/>
        <w:ind w:left="425" w:hanging="283"/>
        <w:jc w:val="both"/>
      </w:pPr>
      <w:r>
        <w:rPr>
          <w:b w:val="0"/>
          <w:i w:val="0"/>
        </w:rPr>
        <w:t>– Tasa de interés bancario corriente: superfinanciera.gov.co, sección "Tasas de interés – Interés bancario corriente".</w:t>
      </w:r>
    </w:p>
    <w:p>
      <w:pPr>
        <w:spacing w:after="120" w:before="0"/>
        <w:jc w:val="both"/>
      </w:pPr>
      <w:r>
        <w:rPr>
          <w:b w:val="0"/>
          <w:i/>
          <w:sz w:val="20"/>
        </w:rPr>
        <w:t>Nota de verificación: la red de este entorno bloqueó el acceso directo a las páginas oficiales (secretariasenado.gov.co, funcionpublica.gov.co, cortesuprema.gov.co, ramajudicial.gov.co). Las citas normativas se hicieron con el texto vigente conocido y las jurisprudenciales se confirmaron por número, fecha, ponente y URL a partir de extractos de fuentes oficiales; antes de transcribir cualquier cita textual en un escrito, abrir la URL y cotejar.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