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Conferencia «Derecho y tecnología para el lunes»</w:t>
      </w:r>
    </w:p>
    <w:p>
      <w:pPr>
        <w:pStyle w:val="Heading1"/>
      </w:pPr>
      <w:r>
        <w:t xml:space="preserve">Contratos, datos personales, prueba electrónica e inteligencia artificial en la práctica del abogado colombiano</w:t>
      </w:r>
    </w:p>
    <w:p>
      <w:pPr>
        <w:spacing w:after="120"/>
      </w:pPr>
      <w:r>
        <w:rPr>
          <w:b/>
          <w:bCs/>
        </w:rPr>
        <w:t xml:space="preserve">Duración:</w:t>
      </w:r>
      <w:r>
        <w:t xml:space="preserve"> 120 minutos exactos (agenda minuto a minuto más abajo).</w:t>
      </w:r>
    </w:p>
    <w:p>
      <w:pPr>
        <w:spacing w:after="120"/>
      </w:pPr>
      <w:r>
        <w:rPr>
          <w:b/>
          <w:bCs/>
        </w:rPr>
        <w:t xml:space="preserve">Fuentes:</w:t>
      </w:r>
      <w:r>
        <w:t xml:space="preserve"> exclusivamente Universidad Externado de Colombia, Harvard (Harvard Law School, Berkman Klein Center, Harvard Journal of Law &amp; Technology, HarvardX) y Universidad de los Andes (Facultad de Derecho, GECTI, Observatorio Ciro Angarita Barón). El catálogo completo, con URL y estado de verificación de cada fuente, está en </w:t>
      </w:r>
      <w:r>
        <w:rPr>
          <w:rFonts w:ascii="Consolas" w:cs="Consolas" w:eastAsia="Consolas" w:hAnsi="Consolas"/>
          <w:sz w:val="18"/>
          <w:szCs w:val="18"/>
        </w:rPr>
        <w:t xml:space="preserve">FUENTES.md</w:t>
      </w:r>
      <w:r>
        <w:t xml:space="preserve">.</w:t>
      </w:r>
    </w:p>
    <w:p>
      <w:pPr>
        <w:spacing w:after="120"/>
      </w:pPr>
      <w:r>
        <w:rPr>
          <w:b/>
          <w:bCs/>
        </w:rPr>
        <w:t xml:space="preserve">Audiencia:</w:t>
      </w:r>
      <w:r>
        <w:t xml:space="preserve"> abogados litigantes y asesores (20 a 40 personas), sin formación técnica previa, que necesitan herramientas aplicables de inmediato.</w:t>
      </w:r>
    </w:p>
    <w:p>
      <w:pPr>
        <w:spacing w:after="120"/>
      </w:pPr>
      <w:r>
        <w:rPr>
          <w:b/>
          <w:bCs/>
        </w:rPr>
        <w:t xml:space="preserve">Formato:</w:t>
      </w:r>
      <w:r>
        <w:t xml:space="preserve"> presencial o híbrido; 4 fragmentos de video, 3 lecturas previas y 1 lectura guiada en sala, 1 ejercicio individual, 2 talleres grupales, 3 bloques de preguntas y un banco de 20 preguntas con respuesta modelo.</w:t>
      </w:r>
    </w:p>
    <w:p>
      <w:pPr>
        <w:spacing w:after="120"/>
      </w:pPr>
      <w:r>
        <w:rPr>
          <w:b/>
          <w:bCs/>
        </w:rPr>
        <w:t xml:space="preserve">Idioma:</w:t>
      </w:r>
      <w:r>
        <w:t xml:space="preserve"> español. Los materiales de Harvard se entregan con extracto traducido de media página y los videos en inglés se proyectan con subtítulos en español.</w:t>
      </w:r>
    </w:p>
    <w:p>
      <w:pPr>
        <w:pBdr>
          <w:bottom w:val="single" w:color="999999" w:sz="6" w:space="1"/>
        </w:pBdr>
      </w:pPr>
    </w:p>
    <w:p>
      <w:pPr>
        <w:pStyle w:val="Heading1"/>
      </w:pPr>
      <w:r>
        <w:t xml:space="preserve">1. Tesis e hilo conductor</w:t>
      </w:r>
    </w:p>
    <w:p>
      <w:pPr>
        <w:spacing w:after="120"/>
      </w:pPr>
      <w:r>
        <w:t xml:space="preserve">La tecnología no cambió los deberes del abogado (diligencia, verificación, lealtad, confidencialidad); cambió la forma en que se cumplen y se prueban. En dos horas los asistentes convierten cuatro marcos colombianos —Ley 527 de 1999, Ley 1581 de 2012, Sentencia T-323 de 2024 de la Corte Constitucional (junto con la STC17832-2025 y el AC739-2026 de la Corte Suprema) y la Circular Externa 002 de 2024 de la SIC— en tres herramientas de uso inmediato.</w:t>
      </w:r>
    </w:p>
    <w:p>
      <w:pPr>
        <w:spacing w:after="120"/>
      </w:pPr>
      <w:r>
        <w:t xml:space="preserve">Cada bloque lleva la etiqueta de uno de </w:t>
      </w:r>
      <w:r>
        <w:rPr>
          <w:b/>
          <w:bCs/>
        </w:rPr>
        <w:t xml:space="preserve">cuatro deberes</w:t>
      </w:r>
      <w:r>
        <w:t xml:space="preserve"> que sirven de hilo narrativo y de recurso de memoria: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16"/>
        <w:gridCol w:w="2484"/>
        <w:gridCol w:w="6038"/>
      </w:tblGrid>
      <w:tr>
        <w:trPr>
          <w:tblHeader/>
        </w:trPr>
        <w:tc>
          <w:tcPr>
            <w:tcW w:type="dxa" w:w="1116"/>
            <w:shd w:fill="E8EEF7" w:color="auto" w:val="clear"/>
            <w:tcMar>
              <w:top w:type="dxa" w:w="60"/>
              <w:left w:type="dxa" w:w="80"/>
              <w:bottom w:type="dxa" w:w="60"/>
              <w:right w:type="dxa" w:w="80"/>
            </w:tcMar>
          </w:tcPr>
          <w:p>
            <w:r>
              <w:rPr>
                <w:b/>
                <w:bCs/>
                <w:sz w:val="18"/>
                <w:szCs w:val="18"/>
              </w:rPr>
              <w:t xml:space="preserve">Deber</w:t>
            </w:r>
          </w:p>
        </w:tc>
        <w:tc>
          <w:tcPr>
            <w:tcW w:type="dxa" w:w="2484"/>
            <w:shd w:fill="E8EEF7" w:color="auto" w:val="clear"/>
            <w:tcMar>
              <w:top w:type="dxa" w:w="60"/>
              <w:left w:type="dxa" w:w="80"/>
              <w:bottom w:type="dxa" w:w="60"/>
              <w:right w:type="dxa" w:w="80"/>
            </w:tcMar>
          </w:tcPr>
          <w:p>
            <w:r>
              <w:rPr>
                <w:b/>
                <w:bCs/>
                <w:sz w:val="18"/>
                <w:szCs w:val="18"/>
              </w:rPr>
              <w:t xml:space="preserve">Bloques</w:t>
            </w:r>
          </w:p>
        </w:tc>
        <w:tc>
          <w:tcPr>
            <w:tcW w:type="dxa" w:w="6038"/>
            <w:shd w:fill="E8EEF7" w:color="auto" w:val="clear"/>
            <w:tcMar>
              <w:top w:type="dxa" w:w="60"/>
              <w:left w:type="dxa" w:w="80"/>
              <w:bottom w:type="dxa" w:w="60"/>
              <w:right w:type="dxa" w:w="80"/>
            </w:tcMar>
          </w:tcPr>
          <w:p>
            <w:r>
              <w:rPr>
                <w:b/>
                <w:bCs/>
                <w:sz w:val="18"/>
                <w:szCs w:val="18"/>
              </w:rPr>
              <w:t xml:space="preserve">Pregunta que responde</w:t>
            </w:r>
          </w:p>
        </w:tc>
      </w:tr>
      <w:tr>
        <w:trPr>
          <w:tblHeader w:val="off"/>
        </w:trPr>
        <w:tc>
          <w:tcPr>
            <w:tcW w:type="dxa" w:w="1116"/>
            <w:tcMar>
              <w:top w:type="dxa" w:w="60"/>
              <w:left w:type="dxa" w:w="80"/>
              <w:bottom w:type="dxa" w:w="60"/>
              <w:right w:type="dxa" w:w="80"/>
            </w:tcMar>
          </w:tcPr>
          <w:p>
            <w:r>
              <w:rPr>
                <w:b/>
                <w:bCs/>
                <w:sz w:val="18"/>
                <w:szCs w:val="18"/>
              </w:rPr>
              <w:t xml:space="preserve">Verificar</w:t>
            </w:r>
          </w:p>
        </w:tc>
        <w:tc>
          <w:tcPr>
            <w:tcW w:type="dxa" w:w="2484"/>
            <w:tcMar>
              <w:top w:type="dxa" w:w="60"/>
              <w:left w:type="dxa" w:w="80"/>
              <w:bottom w:type="dxa" w:w="60"/>
              <w:right w:type="dxa" w:w="80"/>
            </w:tcMar>
          </w:tcPr>
          <w:p>
            <w:r>
              <w:rPr>
                <w:sz w:val="18"/>
                <w:szCs w:val="18"/>
              </w:rPr>
              <w:t xml:space="preserve">Video 1, ejercicio individual, primera ronda de preguntas</w:t>
            </w:r>
          </w:p>
        </w:tc>
        <w:tc>
          <w:tcPr>
            <w:tcW w:type="dxa" w:w="6038"/>
            <w:tcMar>
              <w:top w:type="dxa" w:w="60"/>
              <w:left w:type="dxa" w:w="80"/>
              <w:bottom w:type="dxa" w:w="60"/>
              <w:right w:type="dxa" w:w="80"/>
            </w:tcMar>
          </w:tcPr>
          <w:p>
            <w:r>
              <w:rPr>
                <w:sz w:val="18"/>
                <w:szCs w:val="18"/>
              </w:rPr>
              <w:t xml:space="preserve">¿Qué hago antes de firmar un escrito hecho con IA?</w:t>
            </w:r>
          </w:p>
        </w:tc>
      </w:tr>
      <w:tr>
        <w:trPr>
          <w:tblHeader w:val="off"/>
        </w:trPr>
        <w:tc>
          <w:tcPr>
            <w:tcW w:type="dxa" w:w="1116"/>
            <w:tcMar>
              <w:top w:type="dxa" w:w="60"/>
              <w:left w:type="dxa" w:w="80"/>
              <w:bottom w:type="dxa" w:w="60"/>
              <w:right w:type="dxa" w:w="80"/>
            </w:tcMar>
          </w:tcPr>
          <w:p>
            <w:r>
              <w:rPr>
                <w:b/>
                <w:bCs/>
                <w:sz w:val="18"/>
                <w:szCs w:val="18"/>
              </w:rPr>
              <w:t xml:space="preserve">Demostrar</w:t>
            </w:r>
          </w:p>
        </w:tc>
        <w:tc>
          <w:tcPr>
            <w:tcW w:type="dxa" w:w="2484"/>
            <w:tcMar>
              <w:top w:type="dxa" w:w="60"/>
              <w:left w:type="dxa" w:w="80"/>
              <w:bottom w:type="dxa" w:w="60"/>
              <w:right w:type="dxa" w:w="80"/>
            </w:tcMar>
          </w:tcPr>
          <w:p>
            <w:r>
              <w:rPr>
                <w:sz w:val="18"/>
                <w:szCs w:val="18"/>
              </w:rPr>
              <w:t xml:space="preserve">Video 2, lectura guiada, Taller 1</w:t>
            </w:r>
          </w:p>
        </w:tc>
        <w:tc>
          <w:tcPr>
            <w:tcW w:type="dxa" w:w="6038"/>
            <w:tcMar>
              <w:top w:type="dxa" w:w="60"/>
              <w:left w:type="dxa" w:w="80"/>
              <w:bottom w:type="dxa" w:w="60"/>
              <w:right w:type="dxa" w:w="80"/>
            </w:tcMar>
          </w:tcPr>
          <w:p>
            <w:r>
              <w:rPr>
                <w:sz w:val="18"/>
                <w:szCs w:val="18"/>
              </w:rPr>
              <w:t xml:space="preserve">¿Cómo pruebo un contrato celebrado por WhatsApp y qué hago con un smart contract que falló?</w:t>
            </w:r>
          </w:p>
        </w:tc>
      </w:tr>
      <w:tr>
        <w:trPr>
          <w:tblHeader w:val="off"/>
        </w:trPr>
        <w:tc>
          <w:tcPr>
            <w:tcW w:type="dxa" w:w="1116"/>
            <w:tcMar>
              <w:top w:type="dxa" w:w="60"/>
              <w:left w:type="dxa" w:w="80"/>
              <w:bottom w:type="dxa" w:w="60"/>
              <w:right w:type="dxa" w:w="80"/>
            </w:tcMar>
          </w:tcPr>
          <w:p>
            <w:r>
              <w:rPr>
                <w:b/>
                <w:bCs/>
                <w:sz w:val="18"/>
                <w:szCs w:val="18"/>
              </w:rPr>
              <w:t xml:space="preserve">Consentir</w:t>
            </w:r>
          </w:p>
        </w:tc>
        <w:tc>
          <w:tcPr>
            <w:tcW w:type="dxa" w:w="2484"/>
            <w:tcMar>
              <w:top w:type="dxa" w:w="60"/>
              <w:left w:type="dxa" w:w="80"/>
              <w:bottom w:type="dxa" w:w="60"/>
              <w:right w:type="dxa" w:w="80"/>
            </w:tcMar>
          </w:tcPr>
          <w:p>
            <w:r>
              <w:rPr>
                <w:sz w:val="18"/>
                <w:szCs w:val="18"/>
              </w:rPr>
              <w:t xml:space="preserve">Video 3, Taller 2</w:t>
            </w:r>
          </w:p>
        </w:tc>
        <w:tc>
          <w:tcPr>
            <w:tcW w:type="dxa" w:w="6038"/>
            <w:tcMar>
              <w:top w:type="dxa" w:w="60"/>
              <w:left w:type="dxa" w:w="80"/>
              <w:bottom w:type="dxa" w:w="60"/>
              <w:right w:type="dxa" w:w="80"/>
            </w:tcMar>
          </w:tcPr>
          <w:p>
            <w:r>
              <w:rPr>
                <w:sz w:val="18"/>
                <w:szCs w:val="18"/>
              </w:rPr>
              <w:t xml:space="preserve">¿Qué exijo antes de que un cliente entregue datos sensibles a un proveedor de nube o de IA?</w:t>
            </w:r>
          </w:p>
        </w:tc>
      </w:tr>
      <w:tr>
        <w:trPr>
          <w:tblHeader w:val="off"/>
        </w:trPr>
        <w:tc>
          <w:tcPr>
            <w:tcW w:type="dxa" w:w="1116"/>
            <w:tcMar>
              <w:top w:type="dxa" w:w="60"/>
              <w:left w:type="dxa" w:w="80"/>
              <w:bottom w:type="dxa" w:w="60"/>
              <w:right w:type="dxa" w:w="80"/>
            </w:tcMar>
          </w:tcPr>
          <w:p>
            <w:r>
              <w:rPr>
                <w:b/>
                <w:bCs/>
                <w:sz w:val="18"/>
                <w:szCs w:val="18"/>
              </w:rPr>
              <w:t xml:space="preserve">Explicar</w:t>
            </w:r>
          </w:p>
        </w:tc>
        <w:tc>
          <w:tcPr>
            <w:tcW w:type="dxa" w:w="2484"/>
            <w:tcMar>
              <w:top w:type="dxa" w:w="60"/>
              <w:left w:type="dxa" w:w="80"/>
              <w:bottom w:type="dxa" w:w="60"/>
              <w:right w:type="dxa" w:w="80"/>
            </w:tcMar>
          </w:tcPr>
          <w:p>
            <w:r>
              <w:rPr>
                <w:sz w:val="18"/>
                <w:szCs w:val="18"/>
              </w:rPr>
              <w:t xml:space="preserve">Video 4, debate, cierre</w:t>
            </w:r>
          </w:p>
        </w:tc>
        <w:tc>
          <w:tcPr>
            <w:tcW w:type="dxa" w:w="6038"/>
            <w:tcMar>
              <w:top w:type="dxa" w:w="60"/>
              <w:left w:type="dxa" w:w="80"/>
              <w:bottom w:type="dxa" w:w="60"/>
              <w:right w:type="dxa" w:w="80"/>
            </w:tcMar>
          </w:tcPr>
          <w:p>
            <w:r>
              <w:rPr>
                <w:sz w:val="18"/>
                <w:szCs w:val="18"/>
              </w:rPr>
              <w:t xml:space="preserve">¿Qué puede exigirse a una decisión automatizada y a una voz clonada?</w:t>
            </w:r>
          </w:p>
        </w:tc>
      </w:tr>
    </w:tbl>
    <w:p/>
    <w:p>
      <w:pPr>
        <w:spacing w:after="120"/>
      </w:pPr>
      <w:r>
        <w:t xml:space="preserve">El mapa conceptual de fondo viene de Harvard y se presenta en una sola diapositiva en la apertura: las cuatro modalidades de regulación de Lawrence Lessig (ley, normas sociales, mercado y arquitectura o código: «el código es ley») y las tres capas del modelo de gobernanza de la IA de Urs Gasser y Virgílio Almeida (capa técnica, capa ética y capa social y legal). En el cierre los cuatro deberes se ubican sobre esas capas.</w:t>
      </w:r>
    </w:p>
    <w:p>
      <w:pPr>
        <w:pStyle w:val="Heading1"/>
      </w:pPr>
      <w:r>
        <w:t xml:space="preserve">2. Objetivos de aprendizaje</w:t>
      </w:r>
    </w:p>
    <w:p>
      <w:pPr>
        <w:spacing w:after="120"/>
      </w:pPr>
      <w:r>
        <w:t xml:space="preserve">Al terminar, cada asistente podrá:</w:t>
      </w:r>
    </w:p>
    <w:p>
      <w:pPr>
        <w:pStyle w:val="ListParagraph"/>
        <w:numPr>
          <w:ilvl w:val="0"/>
          <w:numId w:val="2"/>
        </w:numPr>
      </w:pPr>
      <w:r>
        <w:t xml:space="preserve">Aplicar un protocolo de verificación de cinco puntos a un escrito judicial elaborado con IA generativa, a partir de las condiciones fijadas en la Sentencia T-323 de 2024 y de la consecuencia de la STC17832-2025 (decisión apoyada en jurisprudencia inexistente).</w:t>
      </w:r>
    </w:p>
    <w:p>
      <w:pPr>
        <w:pStyle w:val="ListParagraph"/>
        <w:numPr>
          <w:ilvl w:val="0"/>
          <w:numId w:val="2"/>
        </w:numPr>
      </w:pPr>
      <w:r>
        <w:t xml:space="preserve">Determinar cuándo un intercambio por mensajes de datos (WhatsApp, correo, nota de voz) forma contrato bajo la Ley 527 de 1999 y ejecutar un protocolo de conservación y aportación de esa evidencia conforme al artículo 247 del Código General del Proceso.</w:t>
      </w:r>
    </w:p>
    <w:p>
      <w:pPr>
        <w:pStyle w:val="ListParagraph"/>
        <w:numPr>
          <w:ilvl w:val="0"/>
          <w:numId w:val="2"/>
        </w:numPr>
      </w:pPr>
      <w:r>
        <w:t xml:space="preserve">Identificar los riesgos jurídicos propios de un smart contract (inmutabilidad, errores de código, oráculos) y redactar dos cláusulas de mitigación reutilizables.</w:t>
      </w:r>
    </w:p>
    <w:p>
      <w:pPr>
        <w:pStyle w:val="ListParagraph"/>
        <w:numPr>
          <w:ilvl w:val="0"/>
          <w:numId w:val="2"/>
        </w:numPr>
      </w:pPr>
      <w:r>
        <w:t xml:space="preserve">Distinguir transferencia y transmisión internacional de datos personales y aplicar el principio de responsabilidad demostrada a la contratación de un proveedor de nube o de IA con servidores en el exterior.</w:t>
      </w:r>
    </w:p>
    <w:p>
      <w:pPr>
        <w:pStyle w:val="ListParagraph"/>
        <w:numPr>
          <w:ilvl w:val="0"/>
          <w:numId w:val="2"/>
        </w:numPr>
      </w:pPr>
      <w:r>
        <w:t xml:space="preserve">Evaluar el tratamiento de datos sensibles (salud, biometría) en sistemas de IA bajo la Ley 1581 de 2012 y los lineamientos de la Circular Externa 002 de 2024 de la SIC, con una prueba de necesidad y proporcionalidad.</w:t>
      </w:r>
    </w:p>
    <w:p>
      <w:pPr>
        <w:pStyle w:val="ListParagraph"/>
        <w:numPr>
          <w:ilvl w:val="0"/>
          <w:numId w:val="2"/>
        </w:numPr>
      </w:pPr>
      <w:r>
        <w:t xml:space="preserve">Traducir los ocho temas de consenso del informe </w:t>
      </w:r>
      <w:r>
        <w:rPr>
          <w:i/>
          <w:iCs/>
        </w:rPr>
        <w:t xml:space="preserve">Principled Artificial Intelligence</w:t>
      </w:r>
      <w:r>
        <w:t xml:space="preserve"> (Berkman Klein Center) en cláusulas contractuales verificables y anticipar los riesgos probatorios de los deepfakes y la clonación de voz.</w:t>
      </w:r>
    </w:p>
    <w:p>
      <w:pPr>
        <w:pStyle w:val="Heading1"/>
      </w:pPr>
      <w:r>
        <w:t xml:space="preserve">3. Entregables que cada asistente se lleva</w:t>
      </w:r>
    </w:p>
    <w:p>
      <w:pPr>
        <w:pStyle w:val="ListParagraph"/>
        <w:numPr>
          <w:ilvl w:val="0"/>
          <w:numId w:val="3"/>
        </w:numPr>
      </w:pPr>
      <w:r>
        <w:rPr>
          <w:b/>
          <w:bCs/>
        </w:rPr>
        <w:t xml:space="preserve">Protocolo de uso y verificación de IA generativa de la firma</w:t>
      </w:r>
      <w:r>
        <w:t xml:space="preserve"> (una página): se construye con las reglas que los asistentes escriben en el ejercicio individual y se consolida en el cierre.</w:t>
      </w:r>
    </w:p>
    <w:p>
      <w:pPr>
        <w:pStyle w:val="ListParagraph"/>
        <w:numPr>
          <w:ilvl w:val="0"/>
          <w:numId w:val="3"/>
        </w:numPr>
      </w:pPr>
      <w:r>
        <w:rPr>
          <w:b/>
          <w:bCs/>
        </w:rPr>
        <w:t xml:space="preserve">Protocolo de conservación y aportación de mensajes de datos</w:t>
      </w:r>
      <w:r>
        <w:t xml:space="preserve"> (una página, seis casillas) y </w:t>
      </w:r>
      <w:r>
        <w:rPr>
          <w:b/>
          <w:bCs/>
        </w:rPr>
        <w:t xml:space="preserve">dos cláusulas modelo</w:t>
      </w:r>
      <w:r>
        <w:t xml:space="preserve"> para contratos con ejecución automatizada (Taller 1).</w:t>
      </w:r>
    </w:p>
    <w:p>
      <w:pPr>
        <w:pStyle w:val="ListParagraph"/>
        <w:numPr>
          <w:ilvl w:val="0"/>
          <w:numId w:val="3"/>
        </w:numPr>
      </w:pPr>
      <w:r>
        <w:rPr>
          <w:b/>
          <w:bCs/>
        </w:rPr>
        <w:t xml:space="preserve">Matriz de due diligence de datos e IA para proveedores</w:t>
      </w:r>
      <w:r>
        <w:t xml:space="preserve"> con semáforo y lista de cláusulas exigibles (Taller 2).</w:t>
      </w:r>
    </w:p>
    <w:p>
      <w:pPr>
        <w:spacing w:after="120"/>
      </w:pPr>
      <w:r>
        <w:t xml:space="preserve">El mismo día se envía el paquete digital: las tres plantillas, la clave del ejercicio, los extractos usados, el protocolo consolidado y la lista de fuentes con URL (</w:t>
      </w:r>
      <w:r>
        <w:rPr>
          <w:rFonts w:ascii="Consolas" w:cs="Consolas" w:eastAsia="Consolas" w:hAnsi="Consolas"/>
          <w:sz w:val="18"/>
          <w:szCs w:val="18"/>
        </w:rPr>
        <w:t xml:space="preserve">FUENTES.md</w:t>
      </w:r>
      <w:r>
        <w:t xml:space="preserve">).</w:t>
      </w:r>
    </w:p>
    <w:p>
      <w:pPr>
        <w:pStyle w:val="Heading1"/>
      </w:pPr>
      <w:r>
        <w:t xml:space="preserve">4. Lecturas previas</w:t>
      </w:r>
    </w:p>
    <w:p>
      <w:pPr>
        <w:spacing w:after="120"/>
      </w:pPr>
      <w:r>
        <w:t xml:space="preserve">Se envían una semana antes. Las tres obligatorias suman unos 30 minutos de lectura.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5459"/>
        <w:gridCol w:w="674"/>
        <w:gridCol w:w="674"/>
        <w:gridCol w:w="2157"/>
      </w:tblGrid>
      <w:tr>
        <w:trPr>
          <w:tblHeader/>
        </w:trPr>
        <w:tc>
          <w:tcPr>
            <w:tcW w:type="dxa" w:w="674"/>
            <w:shd w:fill="E8EEF7" w:color="auto" w:val="clear"/>
            <w:tcMar>
              <w:top w:type="dxa" w:w="60"/>
              <w:left w:type="dxa" w:w="80"/>
              <w:bottom w:type="dxa" w:w="60"/>
              <w:right w:type="dxa" w:w="80"/>
            </w:tcMar>
          </w:tcPr>
          <w:p>
            <w:r>
              <w:rPr>
                <w:b/>
                <w:bCs/>
                <w:sz w:val="16"/>
                <w:szCs w:val="16"/>
              </w:rPr>
              <w:t xml:space="preserve">#</w:t>
            </w:r>
          </w:p>
        </w:tc>
        <w:tc>
          <w:tcPr>
            <w:tcW w:type="dxa" w:w="5459"/>
            <w:shd w:fill="E8EEF7" w:color="auto" w:val="clear"/>
            <w:tcMar>
              <w:top w:type="dxa" w:w="60"/>
              <w:left w:type="dxa" w:w="80"/>
              <w:bottom w:type="dxa" w:w="60"/>
              <w:right w:type="dxa" w:w="80"/>
            </w:tcMar>
          </w:tcPr>
          <w:p>
            <w:r>
              <w:rPr>
                <w:b/>
                <w:bCs/>
                <w:sz w:val="16"/>
                <w:szCs w:val="16"/>
              </w:rPr>
              <w:t xml:space="preserve">Lectura</w:t>
            </w:r>
          </w:p>
        </w:tc>
        <w:tc>
          <w:tcPr>
            <w:tcW w:type="dxa" w:w="674"/>
            <w:shd w:fill="E8EEF7" w:color="auto" w:val="clear"/>
            <w:tcMar>
              <w:top w:type="dxa" w:w="60"/>
              <w:left w:type="dxa" w:w="80"/>
              <w:bottom w:type="dxa" w:w="60"/>
              <w:right w:type="dxa" w:w="80"/>
            </w:tcMar>
          </w:tcPr>
          <w:p>
            <w:r>
              <w:rPr>
                <w:b/>
                <w:bCs/>
                <w:sz w:val="16"/>
                <w:szCs w:val="16"/>
              </w:rPr>
              <w:t xml:space="preserve">Institución</w:t>
            </w:r>
          </w:p>
        </w:tc>
        <w:tc>
          <w:tcPr>
            <w:tcW w:type="dxa" w:w="674"/>
            <w:shd w:fill="E8EEF7" w:color="auto" w:val="clear"/>
            <w:tcMar>
              <w:top w:type="dxa" w:w="60"/>
              <w:left w:type="dxa" w:w="80"/>
              <w:bottom w:type="dxa" w:w="60"/>
              <w:right w:type="dxa" w:w="80"/>
            </w:tcMar>
          </w:tcPr>
          <w:p>
            <w:r>
              <w:rPr>
                <w:b/>
                <w:bCs/>
                <w:sz w:val="16"/>
                <w:szCs w:val="16"/>
              </w:rPr>
              <w:t xml:space="preserve">Tiempo</w:t>
            </w:r>
          </w:p>
        </w:tc>
        <w:tc>
          <w:tcPr>
            <w:tcW w:type="dxa" w:w="2157"/>
            <w:shd w:fill="E8EEF7" w:color="auto" w:val="clear"/>
            <w:tcMar>
              <w:top w:type="dxa" w:w="60"/>
              <w:left w:type="dxa" w:w="80"/>
              <w:bottom w:type="dxa" w:w="60"/>
              <w:right w:type="dxa" w:w="80"/>
            </w:tcMar>
          </w:tcPr>
          <w:p>
            <w:r>
              <w:rPr>
                <w:b/>
                <w:bCs/>
                <w:sz w:val="16"/>
                <w:szCs w:val="16"/>
              </w:rPr>
              <w:t xml:space="preserve">Para qué sirve</w:t>
            </w:r>
          </w:p>
        </w:tc>
      </w:tr>
      <w:tr>
        <w:trPr>
          <w:tblHeader w:val="off"/>
        </w:trPr>
        <w:tc>
          <w:tcPr>
            <w:tcW w:type="dxa" w:w="674"/>
            <w:tcMar>
              <w:top w:type="dxa" w:w="60"/>
              <w:left w:type="dxa" w:w="80"/>
              <w:bottom w:type="dxa" w:w="60"/>
              <w:right w:type="dxa" w:w="80"/>
            </w:tcMar>
          </w:tcPr>
          <w:p>
            <w:r>
              <w:rPr>
                <w:sz w:val="16"/>
                <w:szCs w:val="16"/>
              </w:rPr>
              <w:t xml:space="preserve">1 (obligatoria)</w:t>
            </w:r>
          </w:p>
        </w:tc>
        <w:tc>
          <w:tcPr>
            <w:tcW w:type="dxa" w:w="5459"/>
            <w:tcMar>
              <w:top w:type="dxa" w:w="60"/>
              <w:left w:type="dxa" w:w="80"/>
              <w:bottom w:type="dxa" w:w="60"/>
              <w:right w:type="dxa" w:w="80"/>
            </w:tcMar>
          </w:tcPr>
          <w:p>
            <w:r>
              <w:rPr>
                <w:b/>
                <w:bCs/>
                <w:sz w:val="16"/>
                <w:szCs w:val="16"/>
              </w:rPr>
              <w:t xml:space="preserve">Resumen de la Sentencia T-323 de 2024 de la Corte Constitucional sobre el uso de IA por jueces</w:t>
            </w:r>
            <w:r>
              <w:rPr>
                <w:sz w:val="16"/>
                <w:szCs w:val="16"/>
              </w:rPr>
              <w:t xml:space="preserve"> — Blog del Departamento de Propiedad Intelectual. </w:t>
            </w:r>
            <w:hyperlink w:history="1" r:id="rIda52kpoyxl3mq3icis2l3h">
              <w:r>
                <w:rPr>
                  <w:rStyle w:val="Hyperlink"/>
                  <w:sz w:val="16"/>
                  <w:szCs w:val="16"/>
                </w:rPr>
                <w:t xml:space="preserve">https://propintel.uexternado.edu.co/resumen-de-la-sentencia-t-323-de-2024-de-la-corte-constitucional-de-colombia-sobre-el-uso-de-ia-por-jueces-de-la-republica/</w:t>
              </w:r>
            </w:hyperlink>
          </w:p>
        </w:tc>
        <w:tc>
          <w:tcPr>
            <w:tcW w:type="dxa" w:w="674"/>
            <w:tcMar>
              <w:top w:type="dxa" w:w="60"/>
              <w:left w:type="dxa" w:w="80"/>
              <w:bottom w:type="dxa" w:w="60"/>
              <w:right w:type="dxa" w:w="80"/>
            </w:tcMar>
          </w:tcPr>
          <w:p>
            <w:r>
              <w:rPr>
                <w:sz w:val="16"/>
                <w:szCs w:val="16"/>
              </w:rPr>
              <w:t xml:space="preserve">Externado</w:t>
            </w:r>
          </w:p>
        </w:tc>
        <w:tc>
          <w:tcPr>
            <w:tcW w:type="dxa" w:w="674"/>
            <w:tcMar>
              <w:top w:type="dxa" w:w="60"/>
              <w:left w:type="dxa" w:w="80"/>
              <w:bottom w:type="dxa" w:w="60"/>
              <w:right w:type="dxa" w:w="80"/>
            </w:tcMar>
          </w:tcPr>
          <w:p>
            <w:r>
              <w:rPr>
                <w:sz w:val="16"/>
                <w:szCs w:val="16"/>
              </w:rPr>
              <w:t xml:space="preserve">10 min</w:t>
            </w:r>
          </w:p>
        </w:tc>
        <w:tc>
          <w:tcPr>
            <w:tcW w:type="dxa" w:w="2157"/>
            <w:tcMar>
              <w:top w:type="dxa" w:w="60"/>
              <w:left w:type="dxa" w:w="80"/>
              <w:bottom w:type="dxa" w:w="60"/>
              <w:right w:type="dxa" w:w="80"/>
            </w:tcMar>
          </w:tcPr>
          <w:p>
            <w:r>
              <w:rPr>
                <w:sz w:val="16"/>
                <w:szCs w:val="16"/>
              </w:rPr>
              <w:t xml:space="preserve">Base del ejercicio individual: la Corte no encontró sustitución de la función judicial porque el juez ya había decidido, pero advirtió que no se cumplieron plenamente transparencia y responsabilidad, y que la IA no reemplaza el razonamiento humano.</w:t>
            </w:r>
          </w:p>
        </w:tc>
      </w:tr>
      <w:tr>
        <w:trPr>
          <w:tblHeader w:val="off"/>
        </w:trPr>
        <w:tc>
          <w:tcPr>
            <w:tcW w:type="dxa" w:w="674"/>
            <w:tcMar>
              <w:top w:type="dxa" w:w="60"/>
              <w:left w:type="dxa" w:w="80"/>
              <w:bottom w:type="dxa" w:w="60"/>
              <w:right w:type="dxa" w:w="80"/>
            </w:tcMar>
          </w:tcPr>
          <w:p>
            <w:r>
              <w:rPr>
                <w:sz w:val="16"/>
                <w:szCs w:val="16"/>
              </w:rPr>
              <w:t xml:space="preserve">2 (obligatoria)</w:t>
            </w:r>
          </w:p>
        </w:tc>
        <w:tc>
          <w:tcPr>
            <w:tcW w:type="dxa" w:w="5459"/>
            <w:tcMar>
              <w:top w:type="dxa" w:w="60"/>
              <w:left w:type="dxa" w:w="80"/>
              <w:bottom w:type="dxa" w:w="60"/>
              <w:right w:type="dxa" w:w="80"/>
            </w:tcMar>
          </w:tcPr>
          <w:p>
            <w:r>
              <w:rPr>
                <w:b/>
                <w:bCs/>
                <w:sz w:val="16"/>
                <w:szCs w:val="16"/>
              </w:rPr>
              <w:t xml:space="preserve">A Primer on Using Artificial Intelligence in the Legal Profession</w:t>
            </w:r>
            <w:r>
              <w:rPr>
                <w:sz w:val="16"/>
                <w:szCs w:val="16"/>
              </w:rPr>
              <w:t xml:space="preserve"> — JOLT Digest, Harvard Journal of Law &amp; Technology (se envía resumen en español de media página). </w:t>
            </w:r>
            <w:hyperlink w:history="1" r:id="rIdxmeslu3kacyxf5wisndke">
              <w:r>
                <w:rPr>
                  <w:rStyle w:val="Hyperlink"/>
                  <w:sz w:val="16"/>
                  <w:szCs w:val="16"/>
                </w:rPr>
                <w:t xml:space="preserve">https://jolt.law.harvard.edu/digest/a-primer-on-using-artificial-intelligence-in-the-legal-profession</w:t>
              </w:r>
            </w:hyperlink>
          </w:p>
        </w:tc>
        <w:tc>
          <w:tcPr>
            <w:tcW w:type="dxa" w:w="674"/>
            <w:tcMar>
              <w:top w:type="dxa" w:w="60"/>
              <w:left w:type="dxa" w:w="80"/>
              <w:bottom w:type="dxa" w:w="60"/>
              <w:right w:type="dxa" w:w="80"/>
            </w:tcMar>
          </w:tcPr>
          <w:p>
            <w:r>
              <w:rPr>
                <w:sz w:val="16"/>
                <w:szCs w:val="16"/>
              </w:rPr>
              <w:t xml:space="preserve">Harvard</w:t>
            </w:r>
          </w:p>
        </w:tc>
        <w:tc>
          <w:tcPr>
            <w:tcW w:type="dxa" w:w="674"/>
            <w:tcMar>
              <w:top w:type="dxa" w:w="60"/>
              <w:left w:type="dxa" w:w="80"/>
              <w:bottom w:type="dxa" w:w="60"/>
              <w:right w:type="dxa" w:w="80"/>
            </w:tcMar>
          </w:tcPr>
          <w:p>
            <w:r>
              <w:rPr>
                <w:sz w:val="16"/>
                <w:szCs w:val="16"/>
              </w:rPr>
              <w:t xml:space="preserve">15 min</w:t>
            </w:r>
          </w:p>
        </w:tc>
        <w:tc>
          <w:tcPr>
            <w:tcW w:type="dxa" w:w="2157"/>
            <w:tcMar>
              <w:top w:type="dxa" w:w="60"/>
              <w:left w:type="dxa" w:w="80"/>
              <w:bottom w:type="dxa" w:w="60"/>
              <w:right w:type="dxa" w:w="80"/>
            </w:tcMar>
          </w:tcPr>
          <w:p>
            <w:r>
              <w:rPr>
                <w:sz w:val="16"/>
                <w:szCs w:val="16"/>
              </w:rPr>
              <w:t xml:space="preserve">Vocabulario mínimo: qué tareas jurídicas ya ejecuta el software con IA y por qué la supervisión y la responsabilidad profesional no se delegan.</w:t>
            </w:r>
          </w:p>
        </w:tc>
      </w:tr>
      <w:tr>
        <w:trPr>
          <w:tblHeader w:val="off"/>
        </w:trPr>
        <w:tc>
          <w:tcPr>
            <w:tcW w:type="dxa" w:w="674"/>
            <w:tcMar>
              <w:top w:type="dxa" w:w="60"/>
              <w:left w:type="dxa" w:w="80"/>
              <w:bottom w:type="dxa" w:w="60"/>
              <w:right w:type="dxa" w:w="80"/>
            </w:tcMar>
          </w:tcPr>
          <w:p>
            <w:r>
              <w:rPr>
                <w:sz w:val="16"/>
                <w:szCs w:val="16"/>
              </w:rPr>
              <w:t xml:space="preserve">3 (obligatoria)</w:t>
            </w:r>
          </w:p>
        </w:tc>
        <w:tc>
          <w:tcPr>
            <w:tcW w:type="dxa" w:w="5459"/>
            <w:tcMar>
              <w:top w:type="dxa" w:w="60"/>
              <w:left w:type="dxa" w:w="80"/>
              <w:bottom w:type="dxa" w:w="60"/>
              <w:right w:type="dxa" w:w="80"/>
            </w:tcMar>
          </w:tcPr>
          <w:p>
            <w:r>
              <w:rPr>
                <w:b/>
                <w:bCs/>
                <w:sz w:val="16"/>
                <w:szCs w:val="16"/>
              </w:rPr>
              <w:t xml:space="preserve">¿Afecta la inteligencia artificial las decisiones que se toman sobre las personas?</w:t>
            </w:r>
            <w:r>
              <w:rPr>
                <w:sz w:val="16"/>
                <w:szCs w:val="16"/>
              </w:rPr>
              <w:t xml:space="preserve"> — Facultad de Derecho, nota con Nelson Remolina Angarita. </w:t>
            </w:r>
            <w:hyperlink w:history="1" r:id="rIdzlgc9ix4b43jzq7ttpufh">
              <w:r>
                <w:rPr>
                  <w:rStyle w:val="Hyperlink"/>
                  <w:sz w:val="16"/>
                  <w:szCs w:val="16"/>
                </w:rPr>
                <w:t xml:space="preserve">https://derecho.uniandes.edu.co/afecta-la-inteligencia-artificial-las-decisiones-que-se-toman-sobre-las-personas/</w:t>
              </w:r>
            </w:hyperlink>
          </w:p>
        </w:tc>
        <w:tc>
          <w:tcPr>
            <w:tcW w:type="dxa" w:w="674"/>
            <w:tcMar>
              <w:top w:type="dxa" w:w="60"/>
              <w:left w:type="dxa" w:w="80"/>
              <w:bottom w:type="dxa" w:w="60"/>
              <w:right w:type="dxa" w:w="80"/>
            </w:tcMar>
          </w:tcPr>
          <w:p>
            <w:r>
              <w:rPr>
                <w:sz w:val="16"/>
                <w:szCs w:val="16"/>
              </w:rPr>
              <w:t xml:space="preserve">Uniandes</w:t>
            </w:r>
          </w:p>
        </w:tc>
        <w:tc>
          <w:tcPr>
            <w:tcW w:type="dxa" w:w="674"/>
            <w:tcMar>
              <w:top w:type="dxa" w:w="60"/>
              <w:left w:type="dxa" w:w="80"/>
              <w:bottom w:type="dxa" w:w="60"/>
              <w:right w:type="dxa" w:w="80"/>
            </w:tcMar>
          </w:tcPr>
          <w:p>
            <w:r>
              <w:rPr>
                <w:sz w:val="16"/>
                <w:szCs w:val="16"/>
              </w:rPr>
              <w:t xml:space="preserve">5 min</w:t>
            </w:r>
          </w:p>
        </w:tc>
        <w:tc>
          <w:tcPr>
            <w:tcW w:type="dxa" w:w="2157"/>
            <w:tcMar>
              <w:top w:type="dxa" w:w="60"/>
              <w:left w:type="dxa" w:w="80"/>
              <w:bottom w:type="dxa" w:w="60"/>
              <w:right w:type="dxa" w:w="80"/>
            </w:tcMar>
          </w:tcPr>
          <w:p>
            <w:r>
              <w:rPr>
                <w:sz w:val="16"/>
                <w:szCs w:val="16"/>
              </w:rPr>
              <w:t xml:space="preserve">Principio de explicabilidad en decisiones basadas en IA y su relación con los datos personales; alimenta el Taller 2 y el debate final.</w:t>
            </w:r>
          </w:p>
        </w:tc>
      </w:tr>
      <w:tr>
        <w:trPr>
          <w:tblHeader w:val="off"/>
        </w:trPr>
        <w:tc>
          <w:tcPr>
            <w:tcW w:type="dxa" w:w="674"/>
            <w:tcMar>
              <w:top w:type="dxa" w:w="60"/>
              <w:left w:type="dxa" w:w="80"/>
              <w:bottom w:type="dxa" w:w="60"/>
              <w:right w:type="dxa" w:w="80"/>
            </w:tcMar>
          </w:tcPr>
          <w:p>
            <w:r>
              <w:rPr>
                <w:sz w:val="16"/>
                <w:szCs w:val="16"/>
              </w:rPr>
              <w:t xml:space="preserve">4 (opcional)</w:t>
            </w:r>
          </w:p>
        </w:tc>
        <w:tc>
          <w:tcPr>
            <w:tcW w:type="dxa" w:w="5459"/>
            <w:tcMar>
              <w:top w:type="dxa" w:w="60"/>
              <w:left w:type="dxa" w:w="80"/>
              <w:bottom w:type="dxa" w:w="60"/>
              <w:right w:type="dxa" w:w="80"/>
            </w:tcMar>
          </w:tcPr>
          <w:p>
            <w:r>
              <w:rPr>
                <w:b/>
                <w:bCs/>
                <w:sz w:val="16"/>
                <w:szCs w:val="16"/>
              </w:rPr>
              <w:t xml:space="preserve">Blockchain y contratos inteligentes: aproximación a sus problemáticas y retos jurídicos</w:t>
            </w:r>
            <w:r>
              <w:rPr>
                <w:sz w:val="16"/>
                <w:szCs w:val="16"/>
              </w:rPr>
              <w:t xml:space="preserve"> — Jorge Padilla Sánchez, Revista de Derecho Privado n.º 39 (2020), pp. 175-201. </w:t>
            </w:r>
            <w:hyperlink w:history="1" r:id="rIdbggm-8odl3d6uv_spdgem">
              <w:r>
                <w:rPr>
                  <w:rStyle w:val="Hyperlink"/>
                  <w:sz w:val="16"/>
                  <w:szCs w:val="16"/>
                </w:rPr>
                <w:t xml:space="preserve">https://revistas.uexternado.edu.co/index.php/derpri/article/view/6681</w:t>
              </w:r>
            </w:hyperlink>
          </w:p>
        </w:tc>
        <w:tc>
          <w:tcPr>
            <w:tcW w:type="dxa" w:w="674"/>
            <w:tcMar>
              <w:top w:type="dxa" w:w="60"/>
              <w:left w:type="dxa" w:w="80"/>
              <w:bottom w:type="dxa" w:w="60"/>
              <w:right w:type="dxa" w:w="80"/>
            </w:tcMar>
          </w:tcPr>
          <w:p>
            <w:r>
              <w:rPr>
                <w:sz w:val="16"/>
                <w:szCs w:val="16"/>
              </w:rPr>
              <w:t xml:space="preserve">Externado</w:t>
            </w:r>
          </w:p>
        </w:tc>
        <w:tc>
          <w:tcPr>
            <w:tcW w:type="dxa" w:w="674"/>
            <w:tcMar>
              <w:top w:type="dxa" w:w="60"/>
              <w:left w:type="dxa" w:w="80"/>
              <w:bottom w:type="dxa" w:w="60"/>
              <w:right w:type="dxa" w:w="80"/>
            </w:tcMar>
          </w:tcPr>
          <w:p>
            <w:r>
              <w:rPr>
                <w:sz w:val="16"/>
                <w:szCs w:val="16"/>
              </w:rPr>
              <w:t xml:space="preserve">20 min (secciones sobre inmutabilidad y errores de programación)</w:t>
            </w:r>
          </w:p>
        </w:tc>
        <w:tc>
          <w:tcPr>
            <w:tcW w:type="dxa" w:w="2157"/>
            <w:tcMar>
              <w:top w:type="dxa" w:w="60"/>
              <w:left w:type="dxa" w:w="80"/>
              <w:bottom w:type="dxa" w:w="60"/>
              <w:right w:type="dxa" w:w="80"/>
            </w:tcMar>
          </w:tcPr>
          <w:p>
            <w:r>
              <w:rPr>
                <w:sz w:val="16"/>
                <w:szCs w:val="16"/>
              </w:rPr>
              <w:t xml:space="preserve">Quien lo lea completo llega al Taller 1 con los argumentos para las cláusulas de pausa y prevalencia del texto.</w:t>
            </w:r>
          </w:p>
        </w:tc>
      </w:tr>
      <w:tr>
        <w:trPr>
          <w:tblHeader w:val="off"/>
        </w:trPr>
        <w:tc>
          <w:tcPr>
            <w:tcW w:type="dxa" w:w="674"/>
            <w:tcMar>
              <w:top w:type="dxa" w:w="60"/>
              <w:left w:type="dxa" w:w="80"/>
              <w:bottom w:type="dxa" w:w="60"/>
              <w:right w:type="dxa" w:w="80"/>
            </w:tcMar>
          </w:tcPr>
          <w:p>
            <w:r>
              <w:rPr>
                <w:sz w:val="16"/>
                <w:szCs w:val="16"/>
              </w:rPr>
              <w:t xml:space="preserve">5 (opcional)</w:t>
            </w:r>
          </w:p>
        </w:tc>
        <w:tc>
          <w:tcPr>
            <w:tcW w:type="dxa" w:w="5459"/>
            <w:tcMar>
              <w:top w:type="dxa" w:w="60"/>
              <w:left w:type="dxa" w:w="80"/>
              <w:bottom w:type="dxa" w:w="60"/>
              <w:right w:type="dxa" w:w="80"/>
            </w:tcMar>
          </w:tcPr>
          <w:p>
            <w:r>
              <w:rPr>
                <w:b/>
                <w:bCs/>
                <w:sz w:val="16"/>
                <w:szCs w:val="16"/>
              </w:rPr>
              <w:t xml:space="preserve">Guía GECTI para la implementación del principio de responsabilidad demostrada (accountability) en las transferencias internacionales de datos personales</w:t>
            </w:r>
            <w:r>
              <w:rPr>
                <w:sz w:val="16"/>
                <w:szCs w:val="16"/>
              </w:rPr>
              <w:t xml:space="preserve"> — Nelson Remolina Angarita y Luisa Fernanda Álvarez Zuluaga (2018). </w:t>
            </w:r>
            <w:hyperlink w:history="1" r:id="rIdoy7r8ums803lfd2l7kwb5">
              <w:r>
                <w:rPr>
                  <w:rStyle w:val="Hyperlink"/>
                  <w:sz w:val="16"/>
                  <w:szCs w:val="16"/>
                </w:rPr>
                <w:t xml:space="preserve">https://habeasdatacolombia.uniandes.edu.co/?p=2817</w:t>
              </w:r>
            </w:hyperlink>
          </w:p>
        </w:tc>
        <w:tc>
          <w:tcPr>
            <w:tcW w:type="dxa" w:w="674"/>
            <w:tcMar>
              <w:top w:type="dxa" w:w="60"/>
              <w:left w:type="dxa" w:w="80"/>
              <w:bottom w:type="dxa" w:w="60"/>
              <w:right w:type="dxa" w:w="80"/>
            </w:tcMar>
          </w:tcPr>
          <w:p>
            <w:r>
              <w:rPr>
                <w:sz w:val="16"/>
                <w:szCs w:val="16"/>
              </w:rPr>
              <w:t xml:space="preserve">Uniandes</w:t>
            </w:r>
          </w:p>
        </w:tc>
        <w:tc>
          <w:tcPr>
            <w:tcW w:type="dxa" w:w="674"/>
            <w:tcMar>
              <w:top w:type="dxa" w:w="60"/>
              <w:left w:type="dxa" w:w="80"/>
              <w:bottom w:type="dxa" w:w="60"/>
              <w:right w:type="dxa" w:w="80"/>
            </w:tcMar>
          </w:tcPr>
          <w:p>
            <w:r>
              <w:rPr>
                <w:sz w:val="16"/>
                <w:szCs w:val="16"/>
              </w:rPr>
              <w:t xml:space="preserve">15 min (hojear la lista de verificación)</w:t>
            </w:r>
          </w:p>
        </w:tc>
        <w:tc>
          <w:tcPr>
            <w:tcW w:type="dxa" w:w="2157"/>
            <w:tcMar>
              <w:top w:type="dxa" w:w="60"/>
              <w:left w:type="dxa" w:w="80"/>
              <w:bottom w:type="dxa" w:w="60"/>
              <w:right w:type="dxa" w:w="80"/>
            </w:tcMar>
          </w:tcPr>
          <w:p>
            <w:r>
              <w:rPr>
                <w:sz w:val="16"/>
                <w:szCs w:val="16"/>
              </w:rPr>
              <w:t xml:space="preserve">Herramienta operativa del Taller 2.</w:t>
            </w:r>
          </w:p>
        </w:tc>
      </w:tr>
      <w:tr>
        <w:trPr>
          <w:tblHeader w:val="off"/>
        </w:trPr>
        <w:tc>
          <w:tcPr>
            <w:tcW w:type="dxa" w:w="674"/>
            <w:tcMar>
              <w:top w:type="dxa" w:w="60"/>
              <w:left w:type="dxa" w:w="80"/>
              <w:bottom w:type="dxa" w:w="60"/>
              <w:right w:type="dxa" w:w="80"/>
            </w:tcMar>
          </w:tcPr>
          <w:p>
            <w:r>
              <w:rPr>
                <w:sz w:val="16"/>
                <w:szCs w:val="16"/>
              </w:rPr>
              <w:t xml:space="preserve">6 (opcional)</w:t>
            </w:r>
          </w:p>
        </w:tc>
        <w:tc>
          <w:tcPr>
            <w:tcW w:type="dxa" w:w="5459"/>
            <w:tcMar>
              <w:top w:type="dxa" w:w="60"/>
              <w:left w:type="dxa" w:w="80"/>
              <w:bottom w:type="dxa" w:w="60"/>
              <w:right w:type="dxa" w:w="80"/>
            </w:tcMar>
          </w:tcPr>
          <w:p>
            <w:r>
              <w:rPr>
                <w:b/>
                <w:bCs/>
                <w:sz w:val="16"/>
                <w:szCs w:val="16"/>
              </w:rPr>
              <w:t xml:space="preserve">Code Is Law: On Liberty in Cyberspace</w:t>
            </w:r>
            <w:r>
              <w:rPr>
                <w:sz w:val="16"/>
                <w:szCs w:val="16"/>
              </w:rPr>
              <w:t xml:space="preserve"> — Lawrence Lessig, Harvard Magazine (2000); se envía hoja con pasajes traducidos. </w:t>
            </w:r>
            <w:hyperlink w:history="1" r:id="rIddnodjkzkizg4_iej8bwdf">
              <w:r>
                <w:rPr>
                  <w:rStyle w:val="Hyperlink"/>
                  <w:sz w:val="16"/>
                  <w:szCs w:val="16"/>
                </w:rPr>
                <w:t xml:space="preserve">https://www.harvardmagazine.com/2000/01/code-is-law-html</w:t>
              </w:r>
            </w:hyperlink>
          </w:p>
        </w:tc>
        <w:tc>
          <w:tcPr>
            <w:tcW w:type="dxa" w:w="674"/>
            <w:tcMar>
              <w:top w:type="dxa" w:w="60"/>
              <w:left w:type="dxa" w:w="80"/>
              <w:bottom w:type="dxa" w:w="60"/>
              <w:right w:type="dxa" w:w="80"/>
            </w:tcMar>
          </w:tcPr>
          <w:p>
            <w:r>
              <w:rPr>
                <w:sz w:val="16"/>
                <w:szCs w:val="16"/>
              </w:rPr>
              <w:t xml:space="preserve">Harvard</w:t>
            </w:r>
          </w:p>
        </w:tc>
        <w:tc>
          <w:tcPr>
            <w:tcW w:type="dxa" w:w="674"/>
            <w:tcMar>
              <w:top w:type="dxa" w:w="60"/>
              <w:left w:type="dxa" w:w="80"/>
              <w:bottom w:type="dxa" w:w="60"/>
              <w:right w:type="dxa" w:w="80"/>
            </w:tcMar>
          </w:tcPr>
          <w:p>
            <w:r>
              <w:rPr>
                <w:sz w:val="16"/>
                <w:szCs w:val="16"/>
              </w:rPr>
              <w:t xml:space="preserve">15 min</w:t>
            </w:r>
          </w:p>
        </w:tc>
        <w:tc>
          <w:tcPr>
            <w:tcW w:type="dxa" w:w="2157"/>
            <w:tcMar>
              <w:top w:type="dxa" w:w="60"/>
              <w:left w:type="dxa" w:w="80"/>
              <w:bottom w:type="dxa" w:w="60"/>
              <w:right w:type="dxa" w:w="80"/>
            </w:tcMar>
          </w:tcPr>
          <w:p>
            <w:r>
              <w:rPr>
                <w:sz w:val="16"/>
                <w:szCs w:val="16"/>
              </w:rPr>
              <w:t xml:space="preserve">Marco de las cuatro modalidades de regulación que se usa en la apertura y el cierre.</w:t>
            </w:r>
          </w:p>
        </w:tc>
      </w:tr>
    </w:tbl>
    <w:p/>
    <w:p>
      <w:pPr>
        <w:pStyle w:val="Heading1"/>
      </w:pPr>
      <w:r>
        <w:t xml:space="preserve">5. Agenda minuto a minuto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2909"/>
        <w:gridCol w:w="1092"/>
        <w:gridCol w:w="674"/>
        <w:gridCol w:w="4289"/>
      </w:tblGrid>
      <w:tr>
        <w:trPr>
          <w:tblHeader/>
        </w:trPr>
        <w:tc>
          <w:tcPr>
            <w:tcW w:type="dxa" w:w="674"/>
            <w:shd w:fill="E8EEF7" w:color="auto" w:val="clear"/>
            <w:tcMar>
              <w:top w:type="dxa" w:w="60"/>
              <w:left w:type="dxa" w:w="80"/>
              <w:bottom w:type="dxa" w:w="60"/>
              <w:right w:type="dxa" w:w="80"/>
            </w:tcMar>
          </w:tcPr>
          <w:p>
            <w:r>
              <w:rPr>
                <w:b/>
                <w:bCs/>
                <w:sz w:val="16"/>
                <w:szCs w:val="16"/>
              </w:rPr>
              <w:t xml:space="preserve">Minuto</w:t>
            </w:r>
          </w:p>
        </w:tc>
        <w:tc>
          <w:tcPr>
            <w:tcW w:type="dxa" w:w="2909"/>
            <w:shd w:fill="E8EEF7" w:color="auto" w:val="clear"/>
            <w:tcMar>
              <w:top w:type="dxa" w:w="60"/>
              <w:left w:type="dxa" w:w="80"/>
              <w:bottom w:type="dxa" w:w="60"/>
              <w:right w:type="dxa" w:w="80"/>
            </w:tcMar>
          </w:tcPr>
          <w:p>
            <w:r>
              <w:rPr>
                <w:b/>
                <w:bCs/>
                <w:sz w:val="16"/>
                <w:szCs w:val="16"/>
              </w:rPr>
              <w:t xml:space="preserve">Bloque</w:t>
            </w:r>
          </w:p>
        </w:tc>
        <w:tc>
          <w:tcPr>
            <w:tcW w:type="dxa" w:w="1092"/>
            <w:shd w:fill="E8EEF7" w:color="auto" w:val="clear"/>
            <w:tcMar>
              <w:top w:type="dxa" w:w="60"/>
              <w:left w:type="dxa" w:w="80"/>
              <w:bottom w:type="dxa" w:w="60"/>
              <w:right w:type="dxa" w:w="80"/>
            </w:tcMar>
          </w:tcPr>
          <w:p>
            <w:r>
              <w:rPr>
                <w:b/>
                <w:bCs/>
                <w:sz w:val="16"/>
                <w:szCs w:val="16"/>
              </w:rPr>
              <w:t xml:space="preserve">Modalidad</w:t>
            </w:r>
          </w:p>
        </w:tc>
        <w:tc>
          <w:tcPr>
            <w:tcW w:type="dxa" w:w="674"/>
            <w:shd w:fill="E8EEF7" w:color="auto" w:val="clear"/>
            <w:tcMar>
              <w:top w:type="dxa" w:w="60"/>
              <w:left w:type="dxa" w:w="80"/>
              <w:bottom w:type="dxa" w:w="60"/>
              <w:right w:type="dxa" w:w="80"/>
            </w:tcMar>
          </w:tcPr>
          <w:p>
            <w:r>
              <w:rPr>
                <w:b/>
                <w:bCs/>
                <w:sz w:val="16"/>
                <w:szCs w:val="16"/>
              </w:rPr>
              <w:t xml:space="preserve">Deber</w:t>
            </w:r>
          </w:p>
        </w:tc>
        <w:tc>
          <w:tcPr>
            <w:tcW w:type="dxa" w:w="4289"/>
            <w:shd w:fill="E8EEF7" w:color="auto" w:val="clear"/>
            <w:tcMar>
              <w:top w:type="dxa" w:w="60"/>
              <w:left w:type="dxa" w:w="80"/>
              <w:bottom w:type="dxa" w:w="60"/>
              <w:right w:type="dxa" w:w="80"/>
            </w:tcMar>
          </w:tcPr>
          <w:p>
            <w:r>
              <w:rPr>
                <w:b/>
                <w:bCs/>
                <w:sz w:val="16"/>
                <w:szCs w:val="16"/>
              </w:rPr>
              <w:t xml:space="preserve">Fuentes (institución)</w:t>
            </w:r>
          </w:p>
        </w:tc>
      </w:tr>
      <w:tr>
        <w:trPr>
          <w:tblHeader w:val="off"/>
        </w:trPr>
        <w:tc>
          <w:tcPr>
            <w:tcW w:type="dxa" w:w="674"/>
            <w:tcMar>
              <w:top w:type="dxa" w:w="60"/>
              <w:left w:type="dxa" w:w="80"/>
              <w:bottom w:type="dxa" w:w="60"/>
              <w:right w:type="dxa" w:w="80"/>
            </w:tcMar>
          </w:tcPr>
          <w:p>
            <w:r>
              <w:rPr>
                <w:sz w:val="16"/>
                <w:szCs w:val="16"/>
              </w:rPr>
              <w:t xml:space="preserve">0-8</w:t>
            </w:r>
          </w:p>
        </w:tc>
        <w:tc>
          <w:tcPr>
            <w:tcW w:type="dxa" w:w="2909"/>
            <w:tcMar>
              <w:top w:type="dxa" w:w="60"/>
              <w:left w:type="dxa" w:w="80"/>
              <w:bottom w:type="dxa" w:w="60"/>
              <w:right w:type="dxa" w:w="80"/>
            </w:tcMar>
          </w:tcPr>
          <w:p>
            <w:r>
              <w:rPr>
                <w:sz w:val="16"/>
                <w:szCs w:val="16"/>
              </w:rPr>
              <w:t xml:space="preserve">Apertura: qué cambia y qué no cambia para el abogado; mapa Lessig / Gasser-Almeida; sondeo de tres preguntas</w:t>
            </w:r>
          </w:p>
        </w:tc>
        <w:tc>
          <w:tcPr>
            <w:tcW w:type="dxa" w:w="1092"/>
            <w:tcMar>
              <w:top w:type="dxa" w:w="60"/>
              <w:left w:type="dxa" w:w="80"/>
              <w:bottom w:type="dxa" w:w="60"/>
              <w:right w:type="dxa" w:w="80"/>
            </w:tcMar>
          </w:tcPr>
          <w:p>
            <w:r>
              <w:rPr>
                <w:sz w:val="16"/>
                <w:szCs w:val="16"/>
              </w:rPr>
              <w:t xml:space="preserve">Exposición + sondeo</w:t>
            </w:r>
          </w:p>
        </w:tc>
        <w:tc>
          <w:tcPr>
            <w:tcW w:type="dxa" w:w="674"/>
            <w:tcMar>
              <w:top w:type="dxa" w:w="60"/>
              <w:left w:type="dxa" w:w="80"/>
              <w:bottom w:type="dxa" w:w="60"/>
              <w:right w:type="dxa" w:w="80"/>
            </w:tcMar>
          </w:tcPr>
          <w:p>
            <w:r>
              <w:rPr>
                <w:sz w:val="16"/>
                <w:szCs w:val="16"/>
              </w:rPr>
              <w:t xml:space="preserve">Marco</w:t>
            </w:r>
          </w:p>
        </w:tc>
        <w:tc>
          <w:tcPr>
            <w:tcW w:type="dxa" w:w="4289"/>
            <w:tcMar>
              <w:top w:type="dxa" w:w="60"/>
              <w:left w:type="dxa" w:w="80"/>
              <w:bottom w:type="dxa" w:w="60"/>
              <w:right w:type="dxa" w:w="80"/>
            </w:tcMar>
          </w:tcPr>
          <w:p>
            <w:r>
              <w:rPr>
                <w:sz w:val="16"/>
                <w:szCs w:val="16"/>
              </w:rPr>
              <w:t xml:space="preserve">Lessig y Gasser-Almeida (Harvard); </w:t>
            </w:r>
            <w:r>
              <w:rPr>
                <w:i/>
                <w:iCs/>
                <w:sz w:val="16"/>
                <w:szCs w:val="16"/>
              </w:rPr>
              <w:t xml:space="preserve">Derecho de las tecnologías y las tecnologías para el derecho</w:t>
            </w:r>
            <w:r>
              <w:rPr>
                <w:sz w:val="16"/>
                <w:szCs w:val="16"/>
              </w:rPr>
              <w:t xml:space="preserve"> (Uniandes); JOLT Primer (Harvard)</w:t>
            </w:r>
          </w:p>
        </w:tc>
      </w:tr>
      <w:tr>
        <w:trPr>
          <w:tblHeader w:val="off"/>
        </w:trPr>
        <w:tc>
          <w:tcPr>
            <w:tcW w:type="dxa" w:w="674"/>
            <w:tcMar>
              <w:top w:type="dxa" w:w="60"/>
              <w:left w:type="dxa" w:w="80"/>
              <w:bottom w:type="dxa" w:w="60"/>
              <w:right w:type="dxa" w:w="80"/>
            </w:tcMar>
          </w:tcPr>
          <w:p>
            <w:r>
              <w:rPr>
                <w:sz w:val="16"/>
                <w:szCs w:val="16"/>
              </w:rPr>
              <w:t xml:space="preserve">8-14</w:t>
            </w:r>
          </w:p>
        </w:tc>
        <w:tc>
          <w:tcPr>
            <w:tcW w:type="dxa" w:w="2909"/>
            <w:tcMar>
              <w:top w:type="dxa" w:w="60"/>
              <w:left w:type="dxa" w:w="80"/>
              <w:bottom w:type="dxa" w:w="60"/>
              <w:right w:type="dxa" w:w="80"/>
            </w:tcMar>
          </w:tcPr>
          <w:p>
            <w:r>
              <w:rPr>
                <w:sz w:val="16"/>
                <w:szCs w:val="16"/>
              </w:rPr>
              <w:t xml:space="preserve">Video 1: la IA en el trabajo del abogado</w:t>
            </w:r>
          </w:p>
        </w:tc>
        <w:tc>
          <w:tcPr>
            <w:tcW w:type="dxa" w:w="1092"/>
            <w:tcMar>
              <w:top w:type="dxa" w:w="60"/>
              <w:left w:type="dxa" w:w="80"/>
              <w:bottom w:type="dxa" w:w="60"/>
              <w:right w:type="dxa" w:w="80"/>
            </w:tcMar>
          </w:tcPr>
          <w:p>
            <w:r>
              <w:rPr>
                <w:sz w:val="16"/>
                <w:szCs w:val="16"/>
              </w:rPr>
              <w:t xml:space="preserve">Video (4-5 min) + reacción</w:t>
            </w:r>
          </w:p>
        </w:tc>
        <w:tc>
          <w:tcPr>
            <w:tcW w:type="dxa" w:w="674"/>
            <w:tcMar>
              <w:top w:type="dxa" w:w="60"/>
              <w:left w:type="dxa" w:w="80"/>
              <w:bottom w:type="dxa" w:w="60"/>
              <w:right w:type="dxa" w:w="80"/>
            </w:tcMar>
          </w:tcPr>
          <w:p>
            <w:r>
              <w:rPr>
                <w:sz w:val="16"/>
                <w:szCs w:val="16"/>
              </w:rPr>
              <w:t xml:space="preserve">Verificar</w:t>
            </w:r>
          </w:p>
        </w:tc>
        <w:tc>
          <w:tcPr>
            <w:tcW w:type="dxa" w:w="4289"/>
            <w:tcMar>
              <w:top w:type="dxa" w:w="60"/>
              <w:left w:type="dxa" w:w="80"/>
              <w:bottom w:type="dxa" w:w="60"/>
              <w:right w:type="dxa" w:w="80"/>
            </w:tcMar>
          </w:tcPr>
          <w:p>
            <w:r>
              <w:rPr>
                <w:i/>
                <w:iCs/>
                <w:sz w:val="16"/>
                <w:szCs w:val="16"/>
              </w:rPr>
              <w:t xml:space="preserve">Understanding Impacts of AI on the Legal Profession</w:t>
            </w:r>
            <w:r>
              <w:rPr>
                <w:sz w:val="16"/>
                <w:szCs w:val="16"/>
              </w:rPr>
              <w:t xml:space="preserve">, CS50 for Lawyers (Harvard)</w:t>
            </w:r>
          </w:p>
        </w:tc>
      </w:tr>
      <w:tr>
        <w:trPr>
          <w:tblHeader w:val="off"/>
        </w:trPr>
        <w:tc>
          <w:tcPr>
            <w:tcW w:type="dxa" w:w="674"/>
            <w:tcMar>
              <w:top w:type="dxa" w:w="60"/>
              <w:left w:type="dxa" w:w="80"/>
              <w:bottom w:type="dxa" w:w="60"/>
              <w:right w:type="dxa" w:w="80"/>
            </w:tcMar>
          </w:tcPr>
          <w:p>
            <w:r>
              <w:rPr>
                <w:sz w:val="16"/>
                <w:szCs w:val="16"/>
              </w:rPr>
              <w:t xml:space="preserve">14-29</w:t>
            </w:r>
          </w:p>
        </w:tc>
        <w:tc>
          <w:tcPr>
            <w:tcW w:type="dxa" w:w="2909"/>
            <w:tcMar>
              <w:top w:type="dxa" w:w="60"/>
              <w:left w:type="dxa" w:w="80"/>
              <w:bottom w:type="dxa" w:w="60"/>
              <w:right w:type="dxa" w:w="80"/>
            </w:tcMar>
          </w:tcPr>
          <w:p>
            <w:r>
              <w:rPr>
                <w:sz w:val="16"/>
                <w:szCs w:val="16"/>
              </w:rPr>
              <w:t xml:space="preserve">Ejercicio individual: auditoría de un escrito elaborado con IA</w:t>
            </w:r>
          </w:p>
        </w:tc>
        <w:tc>
          <w:tcPr>
            <w:tcW w:type="dxa" w:w="1092"/>
            <w:tcMar>
              <w:top w:type="dxa" w:w="60"/>
              <w:left w:type="dxa" w:w="80"/>
              <w:bottom w:type="dxa" w:w="60"/>
              <w:right w:type="dxa" w:w="80"/>
            </w:tcMar>
          </w:tcPr>
          <w:p>
            <w:r>
              <w:rPr>
                <w:sz w:val="16"/>
                <w:szCs w:val="16"/>
              </w:rPr>
              <w:t xml:space="preserve">Ejercicio</w:t>
            </w:r>
          </w:p>
        </w:tc>
        <w:tc>
          <w:tcPr>
            <w:tcW w:type="dxa" w:w="674"/>
            <w:tcMar>
              <w:top w:type="dxa" w:w="60"/>
              <w:left w:type="dxa" w:w="80"/>
              <w:bottom w:type="dxa" w:w="60"/>
              <w:right w:type="dxa" w:w="80"/>
            </w:tcMar>
          </w:tcPr>
          <w:p>
            <w:r>
              <w:rPr>
                <w:sz w:val="16"/>
                <w:szCs w:val="16"/>
              </w:rPr>
              <w:t xml:space="preserve">Verificar</w:t>
            </w:r>
          </w:p>
        </w:tc>
        <w:tc>
          <w:tcPr>
            <w:tcW w:type="dxa" w:w="4289"/>
            <w:tcMar>
              <w:top w:type="dxa" w:w="60"/>
              <w:left w:type="dxa" w:w="80"/>
              <w:bottom w:type="dxa" w:w="60"/>
              <w:right w:type="dxa" w:w="80"/>
            </w:tcMar>
          </w:tcPr>
          <w:p>
            <w:r>
              <w:rPr>
                <w:sz w:val="16"/>
                <w:szCs w:val="16"/>
              </w:rPr>
              <w:t xml:space="preserve">Resumen y relatoría T-323, nota sobre STC17832-2025 y AC739-2026 (Externado)</w:t>
            </w:r>
          </w:p>
        </w:tc>
      </w:tr>
      <w:tr>
        <w:trPr>
          <w:tblHeader w:val="off"/>
        </w:trPr>
        <w:tc>
          <w:tcPr>
            <w:tcW w:type="dxa" w:w="674"/>
            <w:tcMar>
              <w:top w:type="dxa" w:w="60"/>
              <w:left w:type="dxa" w:w="80"/>
              <w:bottom w:type="dxa" w:w="60"/>
              <w:right w:type="dxa" w:w="80"/>
            </w:tcMar>
          </w:tcPr>
          <w:p>
            <w:r>
              <w:rPr>
                <w:sz w:val="16"/>
                <w:szCs w:val="16"/>
              </w:rPr>
              <w:t xml:space="preserve">29-35</w:t>
            </w:r>
          </w:p>
        </w:tc>
        <w:tc>
          <w:tcPr>
            <w:tcW w:type="dxa" w:w="2909"/>
            <w:tcMar>
              <w:top w:type="dxa" w:w="60"/>
              <w:left w:type="dxa" w:w="80"/>
              <w:bottom w:type="dxa" w:w="60"/>
              <w:right w:type="dxa" w:w="80"/>
            </w:tcMar>
          </w:tcPr>
          <w:p>
            <w:r>
              <w:rPr>
                <w:sz w:val="16"/>
                <w:szCs w:val="16"/>
              </w:rPr>
              <w:t xml:space="preserve">Puesta en común y preguntas: deberes del abogado que usa IA</w:t>
            </w:r>
          </w:p>
        </w:tc>
        <w:tc>
          <w:tcPr>
            <w:tcW w:type="dxa" w:w="1092"/>
            <w:tcMar>
              <w:top w:type="dxa" w:w="60"/>
              <w:left w:type="dxa" w:w="80"/>
              <w:bottom w:type="dxa" w:w="60"/>
              <w:right w:type="dxa" w:w="80"/>
            </w:tcMar>
          </w:tcPr>
          <w:p>
            <w:r>
              <w:rPr>
                <w:sz w:val="16"/>
                <w:szCs w:val="16"/>
              </w:rPr>
              <w:t xml:space="preserve">Preguntas (bloque elástico)</w:t>
            </w:r>
          </w:p>
        </w:tc>
        <w:tc>
          <w:tcPr>
            <w:tcW w:type="dxa" w:w="674"/>
            <w:tcMar>
              <w:top w:type="dxa" w:w="60"/>
              <w:left w:type="dxa" w:w="80"/>
              <w:bottom w:type="dxa" w:w="60"/>
              <w:right w:type="dxa" w:w="80"/>
            </w:tcMar>
          </w:tcPr>
          <w:p>
            <w:r>
              <w:rPr>
                <w:sz w:val="16"/>
                <w:szCs w:val="16"/>
              </w:rPr>
              <w:t xml:space="preserve">Verificar</w:t>
            </w:r>
          </w:p>
        </w:tc>
        <w:tc>
          <w:tcPr>
            <w:tcW w:type="dxa" w:w="4289"/>
            <w:tcMar>
              <w:top w:type="dxa" w:w="60"/>
              <w:left w:type="dxa" w:w="80"/>
              <w:bottom w:type="dxa" w:w="60"/>
              <w:right w:type="dxa" w:w="80"/>
            </w:tcMar>
          </w:tcPr>
          <w:p>
            <w:r>
              <w:rPr>
                <w:sz w:val="16"/>
                <w:szCs w:val="16"/>
              </w:rPr>
              <w:t xml:space="preserve">Relatoría T-323 (Externado); conferencia </w:t>
            </w:r>
            <w:r>
              <w:rPr>
                <w:i/>
                <w:iCs/>
                <w:sz w:val="16"/>
                <w:szCs w:val="16"/>
              </w:rPr>
              <w:t xml:space="preserve">La regulación de la IA y el Estado de Derecho</w:t>
            </w:r>
            <w:r>
              <w:rPr>
                <w:sz w:val="16"/>
                <w:szCs w:val="16"/>
              </w:rPr>
              <w:t xml:space="preserve"> (Uniandes)</w:t>
            </w:r>
          </w:p>
        </w:tc>
      </w:tr>
      <w:tr>
        <w:trPr>
          <w:tblHeader w:val="off"/>
        </w:trPr>
        <w:tc>
          <w:tcPr>
            <w:tcW w:type="dxa" w:w="674"/>
            <w:tcMar>
              <w:top w:type="dxa" w:w="60"/>
              <w:left w:type="dxa" w:w="80"/>
              <w:bottom w:type="dxa" w:w="60"/>
              <w:right w:type="dxa" w:w="80"/>
            </w:tcMar>
          </w:tcPr>
          <w:p>
            <w:r>
              <w:rPr>
                <w:sz w:val="16"/>
                <w:szCs w:val="16"/>
              </w:rPr>
              <w:t xml:space="preserve">35-41</w:t>
            </w:r>
          </w:p>
        </w:tc>
        <w:tc>
          <w:tcPr>
            <w:tcW w:type="dxa" w:w="2909"/>
            <w:tcMar>
              <w:top w:type="dxa" w:w="60"/>
              <w:left w:type="dxa" w:w="80"/>
              <w:bottom w:type="dxa" w:w="60"/>
              <w:right w:type="dxa" w:w="80"/>
            </w:tcMar>
          </w:tcPr>
          <w:p>
            <w:r>
              <w:rPr>
                <w:sz w:val="16"/>
                <w:szCs w:val="16"/>
              </w:rPr>
              <w:t xml:space="preserve">Video 2: del contrato electrónico al smart contract</w:t>
            </w:r>
          </w:p>
        </w:tc>
        <w:tc>
          <w:tcPr>
            <w:tcW w:type="dxa" w:w="1092"/>
            <w:tcMar>
              <w:top w:type="dxa" w:w="60"/>
              <w:left w:type="dxa" w:w="80"/>
              <w:bottom w:type="dxa" w:w="60"/>
              <w:right w:type="dxa" w:w="80"/>
            </w:tcMar>
          </w:tcPr>
          <w:p>
            <w:r>
              <w:rPr>
                <w:sz w:val="16"/>
                <w:szCs w:val="16"/>
              </w:rPr>
              <w:t xml:space="preserve">Video (6 min)</w:t>
            </w:r>
          </w:p>
        </w:tc>
        <w:tc>
          <w:tcPr>
            <w:tcW w:type="dxa" w:w="674"/>
            <w:tcMar>
              <w:top w:type="dxa" w:w="60"/>
              <w:left w:type="dxa" w:w="80"/>
              <w:bottom w:type="dxa" w:w="60"/>
              <w:right w:type="dxa" w:w="80"/>
            </w:tcMar>
          </w:tcPr>
          <w:p>
            <w:r>
              <w:rPr>
                <w:sz w:val="16"/>
                <w:szCs w:val="16"/>
              </w:rPr>
              <w:t xml:space="preserve">Demostrar</w:t>
            </w:r>
          </w:p>
        </w:tc>
        <w:tc>
          <w:tcPr>
            <w:tcW w:type="dxa" w:w="4289"/>
            <w:tcMar>
              <w:top w:type="dxa" w:w="60"/>
              <w:left w:type="dxa" w:w="80"/>
              <w:bottom w:type="dxa" w:w="60"/>
              <w:right w:type="dxa" w:w="80"/>
            </w:tcMar>
          </w:tcPr>
          <w:p>
            <w:r>
              <w:rPr>
                <w:sz w:val="16"/>
                <w:szCs w:val="16"/>
              </w:rPr>
              <w:t xml:space="preserve">Conferencia de Daniel Peña Valenzuela (Externado)</w:t>
            </w:r>
          </w:p>
        </w:tc>
      </w:tr>
      <w:tr>
        <w:trPr>
          <w:tblHeader w:val="off"/>
        </w:trPr>
        <w:tc>
          <w:tcPr>
            <w:tcW w:type="dxa" w:w="674"/>
            <w:tcMar>
              <w:top w:type="dxa" w:w="60"/>
              <w:left w:type="dxa" w:w="80"/>
              <w:bottom w:type="dxa" w:w="60"/>
              <w:right w:type="dxa" w:w="80"/>
            </w:tcMar>
          </w:tcPr>
          <w:p>
            <w:r>
              <w:rPr>
                <w:sz w:val="16"/>
                <w:szCs w:val="16"/>
              </w:rPr>
              <w:t xml:space="preserve">41-49</w:t>
            </w:r>
          </w:p>
        </w:tc>
        <w:tc>
          <w:tcPr>
            <w:tcW w:type="dxa" w:w="2909"/>
            <w:tcMar>
              <w:top w:type="dxa" w:w="60"/>
              <w:left w:type="dxa" w:w="80"/>
              <w:bottom w:type="dxa" w:w="60"/>
              <w:right w:type="dxa" w:w="80"/>
            </w:tcMar>
          </w:tcPr>
          <w:p>
            <w:r>
              <w:rPr>
                <w:sz w:val="16"/>
                <w:szCs w:val="16"/>
              </w:rPr>
              <w:t xml:space="preserve">Lectura guiada: Ley 527 dos décadas después y el problema de la inmutabilidad</w:t>
            </w:r>
          </w:p>
        </w:tc>
        <w:tc>
          <w:tcPr>
            <w:tcW w:type="dxa" w:w="1092"/>
            <w:tcMar>
              <w:top w:type="dxa" w:w="60"/>
              <w:left w:type="dxa" w:w="80"/>
              <w:bottom w:type="dxa" w:w="60"/>
              <w:right w:type="dxa" w:w="80"/>
            </w:tcMar>
          </w:tcPr>
          <w:p>
            <w:r>
              <w:rPr>
                <w:sz w:val="16"/>
                <w:szCs w:val="16"/>
              </w:rPr>
              <w:t xml:space="preserve">Lectura guiada</w:t>
            </w:r>
          </w:p>
        </w:tc>
        <w:tc>
          <w:tcPr>
            <w:tcW w:type="dxa" w:w="674"/>
            <w:tcMar>
              <w:top w:type="dxa" w:w="60"/>
              <w:left w:type="dxa" w:w="80"/>
              <w:bottom w:type="dxa" w:w="60"/>
              <w:right w:type="dxa" w:w="80"/>
            </w:tcMar>
          </w:tcPr>
          <w:p>
            <w:r>
              <w:rPr>
                <w:sz w:val="16"/>
                <w:szCs w:val="16"/>
              </w:rPr>
              <w:t xml:space="preserve">Demostrar</w:t>
            </w:r>
          </w:p>
        </w:tc>
        <w:tc>
          <w:tcPr>
            <w:tcW w:type="dxa" w:w="4289"/>
            <w:tcMar>
              <w:top w:type="dxa" w:w="60"/>
              <w:left w:type="dxa" w:w="80"/>
              <w:bottom w:type="dxa" w:w="60"/>
              <w:right w:type="dxa" w:w="80"/>
            </w:tcMar>
          </w:tcPr>
          <w:p>
            <w:r>
              <w:rPr>
                <w:sz w:val="16"/>
                <w:szCs w:val="16"/>
              </w:rPr>
              <w:t xml:space="preserve">Memorias I Foro Ley 527 (Externado, coorganizado con Uniandes); Padilla Sánchez (Externado)</w:t>
            </w:r>
          </w:p>
        </w:tc>
      </w:tr>
      <w:tr>
        <w:trPr>
          <w:tblHeader w:val="off"/>
        </w:trPr>
        <w:tc>
          <w:tcPr>
            <w:tcW w:type="dxa" w:w="674"/>
            <w:tcMar>
              <w:top w:type="dxa" w:w="60"/>
              <w:left w:type="dxa" w:w="80"/>
              <w:bottom w:type="dxa" w:w="60"/>
              <w:right w:type="dxa" w:w="80"/>
            </w:tcMar>
          </w:tcPr>
          <w:p>
            <w:r>
              <w:rPr>
                <w:sz w:val="16"/>
                <w:szCs w:val="16"/>
              </w:rPr>
              <w:t xml:space="preserve">49-65</w:t>
            </w:r>
          </w:p>
        </w:tc>
        <w:tc>
          <w:tcPr>
            <w:tcW w:type="dxa" w:w="2909"/>
            <w:tcMar>
              <w:top w:type="dxa" w:w="60"/>
              <w:left w:type="dxa" w:w="80"/>
              <w:bottom w:type="dxa" w:w="60"/>
              <w:right w:type="dxa" w:w="80"/>
            </w:tcMar>
          </w:tcPr>
          <w:p>
            <w:r>
              <w:rPr>
                <w:sz w:val="16"/>
                <w:szCs w:val="16"/>
              </w:rPr>
              <w:t xml:space="preserve">Taller 1: clínica de contratación y prueba electrónica</w:t>
            </w:r>
          </w:p>
        </w:tc>
        <w:tc>
          <w:tcPr>
            <w:tcW w:type="dxa" w:w="1092"/>
            <w:tcMar>
              <w:top w:type="dxa" w:w="60"/>
              <w:left w:type="dxa" w:w="80"/>
              <w:bottom w:type="dxa" w:w="60"/>
              <w:right w:type="dxa" w:w="80"/>
            </w:tcMar>
          </w:tcPr>
          <w:p>
            <w:r>
              <w:rPr>
                <w:sz w:val="16"/>
                <w:szCs w:val="16"/>
              </w:rPr>
              <w:t xml:space="preserve">Taller grupal</w:t>
            </w:r>
          </w:p>
        </w:tc>
        <w:tc>
          <w:tcPr>
            <w:tcW w:type="dxa" w:w="674"/>
            <w:tcMar>
              <w:top w:type="dxa" w:w="60"/>
              <w:left w:type="dxa" w:w="80"/>
              <w:bottom w:type="dxa" w:w="60"/>
              <w:right w:type="dxa" w:w="80"/>
            </w:tcMar>
          </w:tcPr>
          <w:p>
            <w:r>
              <w:rPr>
                <w:sz w:val="16"/>
                <w:szCs w:val="16"/>
              </w:rPr>
              <w:t xml:space="preserve">Demostrar</w:t>
            </w:r>
          </w:p>
        </w:tc>
        <w:tc>
          <w:tcPr>
            <w:tcW w:type="dxa" w:w="4289"/>
            <w:tcMar>
              <w:top w:type="dxa" w:w="60"/>
              <w:left w:type="dxa" w:w="80"/>
              <w:bottom w:type="dxa" w:w="60"/>
              <w:right w:type="dxa" w:w="80"/>
            </w:tcMar>
          </w:tcPr>
          <w:p>
            <w:r>
              <w:rPr>
                <w:sz w:val="16"/>
                <w:szCs w:val="16"/>
              </w:rPr>
              <w:t xml:space="preserve">Memorias Ley 527, Padilla Sánchez, Almonacid y Coronel (Externado)</w:t>
            </w:r>
          </w:p>
        </w:tc>
      </w:tr>
      <w:tr>
        <w:trPr>
          <w:tblHeader w:val="off"/>
        </w:trPr>
        <w:tc>
          <w:tcPr>
            <w:tcW w:type="dxa" w:w="674"/>
            <w:tcMar>
              <w:top w:type="dxa" w:w="60"/>
              <w:left w:type="dxa" w:w="80"/>
              <w:bottom w:type="dxa" w:w="60"/>
              <w:right w:type="dxa" w:w="80"/>
            </w:tcMar>
          </w:tcPr>
          <w:p>
            <w:r>
              <w:rPr>
                <w:sz w:val="16"/>
                <w:szCs w:val="16"/>
              </w:rPr>
              <w:t xml:space="preserve">65-72</w:t>
            </w:r>
          </w:p>
        </w:tc>
        <w:tc>
          <w:tcPr>
            <w:tcW w:type="dxa" w:w="2909"/>
            <w:tcMar>
              <w:top w:type="dxa" w:w="60"/>
              <w:left w:type="dxa" w:w="80"/>
              <w:bottom w:type="dxa" w:w="60"/>
              <w:right w:type="dxa" w:w="80"/>
            </w:tcMar>
          </w:tcPr>
          <w:p>
            <w:r>
              <w:rPr>
                <w:sz w:val="16"/>
                <w:szCs w:val="16"/>
              </w:rPr>
              <w:t xml:space="preserve">Pausa</w:t>
            </w:r>
          </w:p>
        </w:tc>
        <w:tc>
          <w:tcPr>
            <w:tcW w:type="dxa" w:w="1092"/>
            <w:tcMar>
              <w:top w:type="dxa" w:w="60"/>
              <w:left w:type="dxa" w:w="80"/>
              <w:bottom w:type="dxa" w:w="60"/>
              <w:right w:type="dxa" w:w="80"/>
            </w:tcMar>
          </w:tcPr>
          <w:p>
            <w:r>
              <w:rPr>
                <w:sz w:val="16"/>
                <w:szCs w:val="16"/>
              </w:rPr>
              <w:t xml:space="preserve">Pausa</w:t>
            </w:r>
          </w:p>
        </w:tc>
        <w:tc>
          <w:tcPr>
            <w:tcW w:type="dxa" w:w="674"/>
            <w:tcMar>
              <w:top w:type="dxa" w:w="60"/>
              <w:left w:type="dxa" w:w="80"/>
              <w:bottom w:type="dxa" w:w="60"/>
              <w:right w:type="dxa" w:w="80"/>
            </w:tcMar>
          </w:tcPr>
          <w:p>
            <w:r>
              <w:rPr>
                <w:sz w:val="16"/>
                <w:szCs w:val="16"/>
              </w:rPr>
              <w:t xml:space="preserve">—</w:t>
            </w:r>
          </w:p>
        </w:tc>
        <w:tc>
          <w:tcPr>
            <w:tcW w:type="dxa" w:w="4289"/>
            <w:tcMar>
              <w:top w:type="dxa" w:w="60"/>
              <w:left w:type="dxa" w:w="80"/>
              <w:bottom w:type="dxa" w:w="60"/>
              <w:right w:type="dxa" w:w="80"/>
            </w:tcMar>
          </w:tcPr>
          <w:p>
            <w:r>
              <w:rPr>
                <w:sz w:val="16"/>
                <w:szCs w:val="16"/>
              </w:rPr>
              <w:t xml:space="preserve">—</w:t>
            </w:r>
          </w:p>
        </w:tc>
      </w:tr>
      <w:tr>
        <w:trPr>
          <w:tblHeader w:val="off"/>
        </w:trPr>
        <w:tc>
          <w:tcPr>
            <w:tcW w:type="dxa" w:w="674"/>
            <w:tcMar>
              <w:top w:type="dxa" w:w="60"/>
              <w:left w:type="dxa" w:w="80"/>
              <w:bottom w:type="dxa" w:w="60"/>
              <w:right w:type="dxa" w:w="80"/>
            </w:tcMar>
          </w:tcPr>
          <w:p>
            <w:r>
              <w:rPr>
                <w:sz w:val="16"/>
                <w:szCs w:val="16"/>
              </w:rPr>
              <w:t xml:space="preserve">72-80</w:t>
            </w:r>
          </w:p>
        </w:tc>
        <w:tc>
          <w:tcPr>
            <w:tcW w:type="dxa" w:w="2909"/>
            <w:tcMar>
              <w:top w:type="dxa" w:w="60"/>
              <w:left w:type="dxa" w:w="80"/>
              <w:bottom w:type="dxa" w:w="60"/>
              <w:right w:type="dxa" w:w="80"/>
            </w:tcMar>
          </w:tcPr>
          <w:p>
            <w:r>
              <w:rPr>
                <w:sz w:val="16"/>
                <w:szCs w:val="16"/>
              </w:rPr>
              <w:t xml:space="preserve">Video 3 y marco: datos personales en la nube y en sistemas de IA</w:t>
            </w:r>
          </w:p>
        </w:tc>
        <w:tc>
          <w:tcPr>
            <w:tcW w:type="dxa" w:w="1092"/>
            <w:tcMar>
              <w:top w:type="dxa" w:w="60"/>
              <w:left w:type="dxa" w:w="80"/>
              <w:bottom w:type="dxa" w:w="60"/>
              <w:right w:type="dxa" w:w="80"/>
            </w:tcMar>
          </w:tcPr>
          <w:p>
            <w:r>
              <w:rPr>
                <w:sz w:val="16"/>
                <w:szCs w:val="16"/>
              </w:rPr>
              <w:t xml:space="preserve">Video (5 min) + exposición (3 min)</w:t>
            </w:r>
          </w:p>
        </w:tc>
        <w:tc>
          <w:tcPr>
            <w:tcW w:type="dxa" w:w="674"/>
            <w:tcMar>
              <w:top w:type="dxa" w:w="60"/>
              <w:left w:type="dxa" w:w="80"/>
              <w:bottom w:type="dxa" w:w="60"/>
              <w:right w:type="dxa" w:w="80"/>
            </w:tcMar>
          </w:tcPr>
          <w:p>
            <w:r>
              <w:rPr>
                <w:sz w:val="16"/>
                <w:szCs w:val="16"/>
              </w:rPr>
              <w:t xml:space="preserve">Consentir</w:t>
            </w:r>
          </w:p>
        </w:tc>
        <w:tc>
          <w:tcPr>
            <w:tcW w:type="dxa" w:w="4289"/>
            <w:tcMar>
              <w:top w:type="dxa" w:w="60"/>
              <w:left w:type="dxa" w:w="80"/>
              <w:bottom w:type="dxa" w:w="60"/>
              <w:right w:type="dxa" w:w="80"/>
            </w:tcMar>
          </w:tcPr>
          <w:p>
            <w:r>
              <w:rPr>
                <w:sz w:val="16"/>
                <w:szCs w:val="16"/>
              </w:rPr>
              <w:t xml:space="preserve">Conferencia de Nelson Remolina sobre cloud computing (Uniandes); conversatorio Circular 002 de 2024 (Externado)</w:t>
            </w:r>
          </w:p>
        </w:tc>
      </w:tr>
      <w:tr>
        <w:trPr>
          <w:tblHeader w:val="off"/>
        </w:trPr>
        <w:tc>
          <w:tcPr>
            <w:tcW w:type="dxa" w:w="674"/>
            <w:tcMar>
              <w:top w:type="dxa" w:w="60"/>
              <w:left w:type="dxa" w:w="80"/>
              <w:bottom w:type="dxa" w:w="60"/>
              <w:right w:type="dxa" w:w="80"/>
            </w:tcMar>
          </w:tcPr>
          <w:p>
            <w:r>
              <w:rPr>
                <w:sz w:val="16"/>
                <w:szCs w:val="16"/>
              </w:rPr>
              <w:t xml:space="preserve">80-103</w:t>
            </w:r>
          </w:p>
        </w:tc>
        <w:tc>
          <w:tcPr>
            <w:tcW w:type="dxa" w:w="2909"/>
            <w:tcMar>
              <w:top w:type="dxa" w:w="60"/>
              <w:left w:type="dxa" w:w="80"/>
              <w:bottom w:type="dxa" w:w="60"/>
              <w:right w:type="dxa" w:w="80"/>
            </w:tcMar>
          </w:tcPr>
          <w:p>
            <w:r>
              <w:rPr>
                <w:sz w:val="16"/>
                <w:szCs w:val="16"/>
              </w:rPr>
              <w:t xml:space="preserve">Taller 2: due diligence de datos e IA para contratar un proveedor</w:t>
            </w:r>
          </w:p>
        </w:tc>
        <w:tc>
          <w:tcPr>
            <w:tcW w:type="dxa" w:w="1092"/>
            <w:tcMar>
              <w:top w:type="dxa" w:w="60"/>
              <w:left w:type="dxa" w:w="80"/>
              <w:bottom w:type="dxa" w:w="60"/>
              <w:right w:type="dxa" w:w="80"/>
            </w:tcMar>
          </w:tcPr>
          <w:p>
            <w:r>
              <w:rPr>
                <w:sz w:val="16"/>
                <w:szCs w:val="16"/>
              </w:rPr>
              <w:t xml:space="preserve">Taller grupal</w:t>
            </w:r>
          </w:p>
        </w:tc>
        <w:tc>
          <w:tcPr>
            <w:tcW w:type="dxa" w:w="674"/>
            <w:tcMar>
              <w:top w:type="dxa" w:w="60"/>
              <w:left w:type="dxa" w:w="80"/>
              <w:bottom w:type="dxa" w:w="60"/>
              <w:right w:type="dxa" w:w="80"/>
            </w:tcMar>
          </w:tcPr>
          <w:p>
            <w:r>
              <w:rPr>
                <w:sz w:val="16"/>
                <w:szCs w:val="16"/>
              </w:rPr>
              <w:t xml:space="preserve">Consentir</w:t>
            </w:r>
          </w:p>
        </w:tc>
        <w:tc>
          <w:tcPr>
            <w:tcW w:type="dxa" w:w="4289"/>
            <w:tcMar>
              <w:top w:type="dxa" w:w="60"/>
              <w:left w:type="dxa" w:w="80"/>
              <w:bottom w:type="dxa" w:w="60"/>
              <w:right w:type="dxa" w:w="80"/>
            </w:tcMar>
          </w:tcPr>
          <w:p>
            <w:r>
              <w:rPr>
                <w:sz w:val="16"/>
                <w:szCs w:val="16"/>
              </w:rPr>
              <w:t xml:space="preserve">Guía GECTI y Toolkit ético legal de IA (Uniandes); caso CLOUD Act y </w:t>
            </w:r>
            <w:r>
              <w:rPr>
                <w:i/>
                <w:iCs/>
                <w:sz w:val="16"/>
                <w:szCs w:val="16"/>
              </w:rPr>
              <w:t xml:space="preserve">Principled AI</w:t>
            </w:r>
            <w:r>
              <w:rPr>
                <w:sz w:val="16"/>
                <w:szCs w:val="16"/>
              </w:rPr>
              <w:t xml:space="preserve"> (Harvard); caso Mercado Libre (Externado)</w:t>
            </w:r>
          </w:p>
        </w:tc>
      </w:tr>
      <w:tr>
        <w:trPr>
          <w:tblHeader w:val="off"/>
        </w:trPr>
        <w:tc>
          <w:tcPr>
            <w:tcW w:type="dxa" w:w="674"/>
            <w:tcMar>
              <w:top w:type="dxa" w:w="60"/>
              <w:left w:type="dxa" w:w="80"/>
              <w:bottom w:type="dxa" w:w="60"/>
              <w:right w:type="dxa" w:w="80"/>
            </w:tcMar>
          </w:tcPr>
          <w:p>
            <w:r>
              <w:rPr>
                <w:sz w:val="16"/>
                <w:szCs w:val="16"/>
              </w:rPr>
              <w:t xml:space="preserve">103-106</w:t>
            </w:r>
          </w:p>
        </w:tc>
        <w:tc>
          <w:tcPr>
            <w:tcW w:type="dxa" w:w="2909"/>
            <w:tcMar>
              <w:top w:type="dxa" w:w="60"/>
              <w:left w:type="dxa" w:w="80"/>
              <w:bottom w:type="dxa" w:w="60"/>
              <w:right w:type="dxa" w:w="80"/>
            </w:tcMar>
          </w:tcPr>
          <w:p>
            <w:r>
              <w:rPr>
                <w:sz w:val="16"/>
                <w:szCs w:val="16"/>
              </w:rPr>
              <w:t xml:space="preserve">Video 4: apertura y supervisión de la IA</w:t>
            </w:r>
          </w:p>
        </w:tc>
        <w:tc>
          <w:tcPr>
            <w:tcW w:type="dxa" w:w="1092"/>
            <w:tcMar>
              <w:top w:type="dxa" w:w="60"/>
              <w:left w:type="dxa" w:w="80"/>
              <w:bottom w:type="dxa" w:w="60"/>
              <w:right w:type="dxa" w:w="80"/>
            </w:tcMar>
          </w:tcPr>
          <w:p>
            <w:r>
              <w:rPr>
                <w:sz w:val="16"/>
                <w:szCs w:val="16"/>
              </w:rPr>
              <w:t xml:space="preserve">Video (3 min)</w:t>
            </w:r>
          </w:p>
        </w:tc>
        <w:tc>
          <w:tcPr>
            <w:tcW w:type="dxa" w:w="674"/>
            <w:tcMar>
              <w:top w:type="dxa" w:w="60"/>
              <w:left w:type="dxa" w:w="80"/>
              <w:bottom w:type="dxa" w:w="60"/>
              <w:right w:type="dxa" w:w="80"/>
            </w:tcMar>
          </w:tcPr>
          <w:p>
            <w:r>
              <w:rPr>
                <w:sz w:val="16"/>
                <w:szCs w:val="16"/>
              </w:rPr>
              <w:t xml:space="preserve">Explicar</w:t>
            </w:r>
          </w:p>
        </w:tc>
        <w:tc>
          <w:tcPr>
            <w:tcW w:type="dxa" w:w="4289"/>
            <w:tcMar>
              <w:top w:type="dxa" w:w="60"/>
              <w:left w:type="dxa" w:w="80"/>
              <w:bottom w:type="dxa" w:w="60"/>
              <w:right w:type="dxa" w:w="80"/>
            </w:tcMar>
          </w:tcPr>
          <w:p>
            <w:r>
              <w:rPr>
                <w:sz w:val="16"/>
                <w:szCs w:val="16"/>
              </w:rPr>
              <w:t xml:space="preserve">Jonathan Zittrain, </w:t>
            </w:r>
            <w:r>
              <w:rPr>
                <w:i/>
                <w:iCs/>
                <w:sz w:val="16"/>
                <w:szCs w:val="16"/>
              </w:rPr>
              <w:t xml:space="preserve">Openness and Oversight of AI</w:t>
            </w:r>
            <w:r>
              <w:rPr>
                <w:sz w:val="16"/>
                <w:szCs w:val="16"/>
              </w:rPr>
              <w:t xml:space="preserve"> (Harvard)</w:t>
            </w:r>
          </w:p>
        </w:tc>
      </w:tr>
      <w:tr>
        <w:trPr>
          <w:tblHeader w:val="off"/>
        </w:trPr>
        <w:tc>
          <w:tcPr>
            <w:tcW w:type="dxa" w:w="674"/>
            <w:tcMar>
              <w:top w:type="dxa" w:w="60"/>
              <w:left w:type="dxa" w:w="80"/>
              <w:bottom w:type="dxa" w:w="60"/>
              <w:right w:type="dxa" w:w="80"/>
            </w:tcMar>
          </w:tcPr>
          <w:p>
            <w:r>
              <w:rPr>
                <w:sz w:val="16"/>
                <w:szCs w:val="16"/>
              </w:rPr>
              <w:t xml:space="preserve">106-112</w:t>
            </w:r>
          </w:p>
        </w:tc>
        <w:tc>
          <w:tcPr>
            <w:tcW w:type="dxa" w:w="2909"/>
            <w:tcMar>
              <w:top w:type="dxa" w:w="60"/>
              <w:left w:type="dxa" w:w="80"/>
              <w:bottom w:type="dxa" w:w="60"/>
              <w:right w:type="dxa" w:w="80"/>
            </w:tcMar>
          </w:tcPr>
          <w:p>
            <w:r>
              <w:rPr>
                <w:sz w:val="16"/>
                <w:szCs w:val="16"/>
              </w:rPr>
              <w:t xml:space="preserve">Preguntas y debate: voz clonada, deepfakes y decisiones automatizadas</w:t>
            </w:r>
          </w:p>
        </w:tc>
        <w:tc>
          <w:tcPr>
            <w:tcW w:type="dxa" w:w="1092"/>
            <w:tcMar>
              <w:top w:type="dxa" w:w="60"/>
              <w:left w:type="dxa" w:w="80"/>
              <w:bottom w:type="dxa" w:w="60"/>
              <w:right w:type="dxa" w:w="80"/>
            </w:tcMar>
          </w:tcPr>
          <w:p>
            <w:r>
              <w:rPr>
                <w:sz w:val="16"/>
                <w:szCs w:val="16"/>
              </w:rPr>
              <w:t xml:space="preserve">Preguntas y debate</w:t>
            </w:r>
          </w:p>
        </w:tc>
        <w:tc>
          <w:tcPr>
            <w:tcW w:type="dxa" w:w="674"/>
            <w:tcMar>
              <w:top w:type="dxa" w:w="60"/>
              <w:left w:type="dxa" w:w="80"/>
              <w:bottom w:type="dxa" w:w="60"/>
              <w:right w:type="dxa" w:w="80"/>
            </w:tcMar>
          </w:tcPr>
          <w:p>
            <w:r>
              <w:rPr>
                <w:sz w:val="16"/>
                <w:szCs w:val="16"/>
              </w:rPr>
              <w:t xml:space="preserve">Explicar</w:t>
            </w:r>
          </w:p>
        </w:tc>
        <w:tc>
          <w:tcPr>
            <w:tcW w:type="dxa" w:w="4289"/>
            <w:tcMar>
              <w:top w:type="dxa" w:w="60"/>
              <w:left w:type="dxa" w:w="80"/>
              <w:bottom w:type="dxa" w:w="60"/>
              <w:right w:type="dxa" w:w="80"/>
            </w:tcMar>
          </w:tcPr>
          <w:p>
            <w:r>
              <w:rPr>
                <w:sz w:val="16"/>
                <w:szCs w:val="16"/>
              </w:rPr>
              <w:t xml:space="preserve">Caso Modulate e </w:t>
            </w:r>
            <w:r>
              <w:rPr>
                <w:i/>
                <w:iCs/>
                <w:sz w:val="16"/>
                <w:szCs w:val="16"/>
              </w:rPr>
              <w:t xml:space="preserve">Intellectual Debt</w:t>
            </w:r>
            <w:r>
              <w:rPr>
                <w:sz w:val="16"/>
                <w:szCs w:val="16"/>
              </w:rPr>
              <w:t xml:space="preserve"> (Harvard); ¿Afecta la IA las decisiones…? (Uniandes)</w:t>
            </w:r>
          </w:p>
        </w:tc>
      </w:tr>
      <w:tr>
        <w:trPr>
          <w:tblHeader w:val="off"/>
        </w:trPr>
        <w:tc>
          <w:tcPr>
            <w:tcW w:type="dxa" w:w="674"/>
            <w:tcMar>
              <w:top w:type="dxa" w:w="60"/>
              <w:left w:type="dxa" w:w="80"/>
              <w:bottom w:type="dxa" w:w="60"/>
              <w:right w:type="dxa" w:w="80"/>
            </w:tcMar>
          </w:tcPr>
          <w:p>
            <w:r>
              <w:rPr>
                <w:sz w:val="16"/>
                <w:szCs w:val="16"/>
              </w:rPr>
              <w:t xml:space="preserve">112-120</w:t>
            </w:r>
          </w:p>
        </w:tc>
        <w:tc>
          <w:tcPr>
            <w:tcW w:type="dxa" w:w="2909"/>
            <w:tcMar>
              <w:top w:type="dxa" w:w="60"/>
              <w:left w:type="dxa" w:w="80"/>
              <w:bottom w:type="dxa" w:w="60"/>
              <w:right w:type="dxa" w:w="80"/>
            </w:tcMar>
          </w:tcPr>
          <w:p>
            <w:r>
              <w:rPr>
                <w:sz w:val="16"/>
                <w:szCs w:val="16"/>
              </w:rPr>
              <w:t xml:space="preserve">Cierre: evaluación relámpago, compromiso del lunes, protocolo consolidado y rutas de profundización</w:t>
            </w:r>
          </w:p>
        </w:tc>
        <w:tc>
          <w:tcPr>
            <w:tcW w:type="dxa" w:w="1092"/>
            <w:tcMar>
              <w:top w:type="dxa" w:w="60"/>
              <w:left w:type="dxa" w:w="80"/>
              <w:bottom w:type="dxa" w:w="60"/>
              <w:right w:type="dxa" w:w="80"/>
            </w:tcMar>
          </w:tcPr>
          <w:p>
            <w:r>
              <w:rPr>
                <w:sz w:val="16"/>
                <w:szCs w:val="16"/>
              </w:rPr>
              <w:t xml:space="preserve">Cierre</w:t>
            </w:r>
          </w:p>
        </w:tc>
        <w:tc>
          <w:tcPr>
            <w:tcW w:type="dxa" w:w="674"/>
            <w:tcMar>
              <w:top w:type="dxa" w:w="60"/>
              <w:left w:type="dxa" w:w="80"/>
              <w:bottom w:type="dxa" w:w="60"/>
              <w:right w:type="dxa" w:w="80"/>
            </w:tcMar>
          </w:tcPr>
          <w:p>
            <w:r>
              <w:rPr>
                <w:sz w:val="16"/>
                <w:szCs w:val="16"/>
              </w:rPr>
              <w:t xml:space="preserve">Síntesis</w:t>
            </w:r>
          </w:p>
        </w:tc>
        <w:tc>
          <w:tcPr>
            <w:tcW w:type="dxa" w:w="4289"/>
            <w:tcMar>
              <w:top w:type="dxa" w:w="60"/>
              <w:left w:type="dxa" w:w="80"/>
              <w:bottom w:type="dxa" w:w="60"/>
              <w:right w:type="dxa" w:w="80"/>
            </w:tcMar>
          </w:tcPr>
          <w:p>
            <w:r>
              <w:rPr>
                <w:sz w:val="16"/>
                <w:szCs w:val="16"/>
              </w:rPr>
              <w:t xml:space="preserve">Observatorio Ciro Angarita Barón (Uniandes); CS50 for Lawyers (Harvard); Especialización en Derecho Informático (Externado)</w:t>
            </w:r>
          </w:p>
        </w:tc>
      </w:tr>
    </w:tbl>
    <w:p/>
    <w:p>
      <w:pPr>
        <w:spacing w:after="120"/>
      </w:pPr>
      <w:r>
        <w:t xml:space="preserve">Reparto del tiempo: 26 minutos de exposición y preguntas, 18 de video, 8 de lectura guiada, 54 de trabajo activo (ejercicio y talleres), 7 de pausa y 8 de cierre. Ningún bloque pasivo supera los 10 minutos.</w:t>
      </w:r>
    </w:p>
    <w:p>
      <w:pPr>
        <w:pStyle w:val="Heading1"/>
      </w:pPr>
      <w:r>
        <w:t xml:space="preserve">6. Guion del facilitador, bloque por bloque</w:t>
      </w:r>
    </w:p>
    <w:p>
      <w:pPr>
        <w:pStyle w:val="Heading2"/>
      </w:pPr>
      <w:r>
        <w:t xml:space="preserve">Bloque 1 · 0-8 · Apertura: qué cambia y qué no cambia para el abogado</w:t>
      </w:r>
    </w:p>
    <w:p>
      <w:pPr>
        <w:spacing w:after="120"/>
      </w:pPr>
      <w:r>
        <w:rPr>
          <w:b/>
          <w:bCs/>
        </w:rPr>
        <w:t xml:space="preserve">Qué se hace.</w:t>
      </w:r>
      <w:r>
        <w:t xml:space="preserve"> Bienvenida y encuadre en tres diapositivas: (1) la tesis (los deberes no cambiaron; cambió cómo se cumplen y se prueban); (2) el mapa conceptual: las cuatro modalidades de Lessig (ley, normas, mercado, código) y las tres capas de Gasser y Almeida (técnica, ética, social y legal), con la consigna «denme un ejemplo colombiano de cada modalidad» a mano alzada; (3) los cuatro deberes y los tres entregables.</w:t>
      </w:r>
    </w:p>
    <w:p>
      <w:pPr>
        <w:spacing w:after="120"/>
      </w:pPr>
      <w:r>
        <w:rPr>
          <w:b/>
          <w:bCs/>
        </w:rPr>
        <w:t xml:space="preserve">Sondeo de apertura</w:t>
      </w:r>
      <w:r>
        <w:t xml:space="preserve"> (a mano alzada o con formulario por código QR; anotar los porcentajes para retomarlos en el cierre):</w:t>
      </w:r>
    </w:p>
    <w:p>
      <w:pPr>
        <w:pStyle w:val="ListParagraph"/>
        <w:numPr>
          <w:ilvl w:val="0"/>
          <w:numId w:val="4"/>
        </w:numPr>
      </w:pPr>
      <w:r>
        <w:t xml:space="preserve">¿Quién ha usado un chatbot de IA generativa para redactar o revisar un escrito en los últimos tres meses?</w:t>
      </w:r>
    </w:p>
    <w:p>
      <w:pPr>
        <w:pStyle w:val="ListParagraph"/>
        <w:numPr>
          <w:ilvl w:val="0"/>
          <w:numId w:val="4"/>
        </w:numPr>
      </w:pPr>
      <w:r>
        <w:t xml:space="preserve">De esos, ¿quién verificó cada cita en la fuente oficial?</w:t>
      </w:r>
    </w:p>
    <w:p>
      <w:pPr>
        <w:pStyle w:val="ListParagraph"/>
        <w:numPr>
          <w:ilvl w:val="0"/>
          <w:numId w:val="4"/>
        </w:numPr>
      </w:pPr>
      <w:r>
        <w:t xml:space="preserve">¿Quién ha recibido una decisión (crédito, empleo, seguro, trámite) tomada por un sistema automatizado sin que le explicaran por qué?</w:t>
      </w:r>
    </w:p>
    <w:p>
      <w:pPr>
        <w:spacing w:after="120"/>
      </w:pPr>
      <w:r>
        <w:t xml:space="preserve">Se cierra con la idea de «cibercompetencias» del libro </w:t>
      </w:r>
      <w:r>
        <w:rPr>
          <w:i/>
          <w:iCs/>
        </w:rPr>
        <w:t xml:space="preserve">Derecho de las tecnologías y las tecnologías para el derecho</w:t>
      </w:r>
      <w:r>
        <w:t xml:space="preserve"> (Uniandes, ed. María Lorena Flórez Rojas) y la del JOLT Primer: la IA ya ejecuta tareas jurídicas, pero la responsabilidad sigue siendo del abogado.</w:t>
      </w:r>
    </w:p>
    <w:p>
      <w:pPr>
        <w:spacing w:after="120"/>
      </w:pPr>
      <w:r>
        <w:rPr>
          <w:b/>
          <w:bCs/>
        </w:rPr>
        <w:t xml:space="preserve">Notas.</w:t>
      </w:r>
      <w:r>
        <w:t xml:space="preserve"> Anunciar la regla de confidencialidad: todos los casos son ficticios y nadie ingresa datos reales de clientes en herramientas de IA durante la sesión. Cronómetro visible desde el minuto 0. Recordatorio de 60 segundos de la lectura previa sobre la T-323 para quien no la hizo.</w:t>
      </w:r>
    </w:p>
    <w:p>
      <w:pPr>
        <w:spacing w:after="120"/>
      </w:pPr>
      <w:r>
        <w:rPr>
          <w:b/>
          <w:bCs/>
        </w:rPr>
        <w:t xml:space="preserve">Fuentes.</w:t>
      </w:r>
      <w:r>
        <w:t xml:space="preserve"> Lessig, </w:t>
      </w:r>
      <w:r>
        <w:rPr>
          <w:i/>
          <w:iCs/>
        </w:rPr>
        <w:t xml:space="preserve">Code Is Law</w:t>
      </w:r>
      <w:r>
        <w:t xml:space="preserve"> (Harvard Magazine, 2000). Gasser y Almeida, </w:t>
      </w:r>
      <w:r>
        <w:rPr>
          <w:i/>
          <w:iCs/>
        </w:rPr>
        <w:t xml:space="preserve">A Layered Model for AI Governance</w:t>
      </w:r>
      <w:r>
        <w:t xml:space="preserve"> (2017, repositorio DASH de Harvard). Flórez Rojas (ed.), </w:t>
      </w:r>
      <w:r>
        <w:rPr>
          <w:i/>
          <w:iCs/>
        </w:rPr>
        <w:t xml:space="preserve">Derecho de las tecnologías y las tecnologías para el derecho</w:t>
      </w:r>
      <w:r>
        <w:t xml:space="preserve"> (Ediciones Uniandes). JOLT Digest, </w:t>
      </w:r>
      <w:r>
        <w:rPr>
          <w:i/>
          <w:iCs/>
        </w:rPr>
        <w:t xml:space="preserve">A Primer on Using AI in the Legal Profession</w:t>
      </w:r>
      <w:r>
        <w:t xml:space="preserve"> (Harvard).</w:t>
      </w:r>
    </w:p>
    <w:p>
      <w:pPr>
        <w:pStyle w:val="Heading2"/>
      </w:pPr>
      <w:r>
        <w:t xml:space="preserve">Bloque 2 · 8-14 · Video 1 (Harvard): la IA en el trabajo del abogado</w:t>
      </w:r>
    </w:p>
    <w:p>
      <w:pPr>
        <w:spacing w:after="120"/>
      </w:pPr>
      <w:r>
        <w:rPr>
          <w:b/>
          <w:bCs/>
        </w:rPr>
        <w:t xml:space="preserve">Qué se hace.</w:t>
      </w:r>
      <w:r>
        <w:t xml:space="preserve"> Proyección de un fragmento de 4 a 5 minutos de </w:t>
      </w:r>
      <w:r>
        <w:rPr>
          <w:i/>
          <w:iCs/>
        </w:rPr>
        <w:t xml:space="preserve">Understanding Impacts of AI on the Legal Profession</w:t>
      </w:r>
      <w:r>
        <w:t xml:space="preserve">, del curso CS50's Computer Science for Lawyers de Harvard (</w:t>
      </w:r>
      <w:hyperlink w:history="1" r:id="rId1y48dhcj9v3a0k4lk29p7">
        <w:r>
          <w:rPr>
            <w:rStyle w:val="Hyperlink"/>
          </w:rPr>
          <w:t xml:space="preserve">https://www.youtube.com/watch?v=Y8UHDl2IJOM</w:t>
        </w:r>
      </w:hyperlink>
      <w:r>
        <w:t xml:space="preserve">), con subtítulos en español. Consigna de visionado activo: «anote una tarea suya que ya hace o podría hacer con IA, una que nunca delegaría y una afirmación del video con la que no esté de acuerdo». Dos minutos para recoger tres respuestas en voz alta; sin debate todavía.</w:t>
      </w:r>
    </w:p>
    <w:p>
      <w:pPr>
        <w:spacing w:after="120"/>
      </w:pPr>
      <w:r>
        <w:rPr>
          <w:b/>
          <w:bCs/>
        </w:rPr>
        <w:t xml:space="preserve">Notas.</w:t>
      </w:r>
      <w:r>
        <w:t xml:space="preserve"> Descargar el fragmento con anticipación y marcar los tiempos de inicio y fin; no navegar en vivo. Probar audio y subtítulos. </w:t>
      </w:r>
      <w:r>
        <w:rPr>
          <w:b/>
          <w:bCs/>
        </w:rPr>
        <w:t xml:space="preserve">Plan B en español:</w:t>
      </w:r>
      <w:r>
        <w:t xml:space="preserve"> fragmento equivalente de </w:t>
      </w:r>
      <w:r>
        <w:rPr>
          <w:i/>
          <w:iCs/>
        </w:rPr>
        <w:t xml:space="preserve">Desafíos del derecho en la era de la Inteligencia Artificial</w:t>
      </w:r>
      <w:r>
        <w:t xml:space="preserve"> (canal de la Facultad de Derecho Uniandes, febrero de 2026, </w:t>
      </w:r>
      <w:hyperlink w:history="1" r:id="rIdgrk_kp8eurqde_g1lpumm">
        <w:r>
          <w:rPr>
            <w:rStyle w:val="Hyperlink"/>
          </w:rPr>
          <w:t xml:space="preserve">https://www.youtube.com/watch?v=IvcNLzlJUHA</w:t>
        </w:r>
      </w:hyperlink>
      <w:r>
        <w:t xml:space="preserve">) o de la </w:t>
      </w:r>
      <w:r>
        <w:rPr>
          <w:i/>
          <w:iCs/>
        </w:rPr>
        <w:t xml:space="preserve">Conferencia: La regulación de la IA y el Estado de Derecho: retos y oportunidades</w:t>
      </w:r>
      <w:r>
        <w:t xml:space="preserve"> (canal de la Facultad de Derecho Uniandes, mayo de 2024, </w:t>
      </w:r>
      <w:hyperlink w:history="1" r:id="rIdbmcov-hf9hpgb9ixengfz">
        <w:r>
          <w:rPr>
            <w:rStyle w:val="Hyperlink"/>
          </w:rPr>
          <w:t xml:space="preserve">https://www.youtube.com/watch?v=-lm4xlX9WcA</w:t>
        </w:r>
      </w:hyperlink>
      <w:r>
        <w:t xml:space="preserve">).</w:t>
      </w:r>
    </w:p>
    <w:p>
      <w:pPr>
        <w:pStyle w:val="Heading2"/>
      </w:pPr>
      <w:r>
        <w:t xml:space="preserve">Bloque 3 · 14-29 · Ejercicio individual: auditoría de un escrito elaborado con IA</w:t>
      </w:r>
    </w:p>
    <w:p>
      <w:pPr>
        <w:spacing w:after="120"/>
      </w:pPr>
      <w:r>
        <w:t xml:space="preserve">Detalle completo en la sección 7.1. Resumen: cada asistente recibe un recurso de reposición de una página «redactado con ayuda de IA» que contiene cuatro problemas plantados y una lista de verificación de cinco puntos; marca todo lo que no firmaría y escribe una regla para el protocolo de la firma. Tres minutos de consigna, diez de trabajo en silencio, dos de autoevaluación con la clave proyectada.</w:t>
      </w:r>
    </w:p>
    <w:p>
      <w:pPr>
        <w:spacing w:after="120"/>
      </w:pPr>
      <w:r>
        <w:rPr>
          <w:b/>
          <w:bCs/>
        </w:rPr>
        <w:t xml:space="preserve">Fuentes.</w:t>
      </w:r>
      <w:r>
        <w:t xml:space="preserve"> Resumen de la T-323 de 2024 (Externado, propintel). Relatoría del conversatorio del Externado sobre la T-323 (27 de agosto de 2024). Nota </w:t>
      </w:r>
      <w:r>
        <w:rPr>
          <w:i/>
          <w:iCs/>
        </w:rPr>
        <w:t xml:space="preserve">El Externado analiza el uso de la IA en la justicia colombiana</w:t>
      </w:r>
      <w:r>
        <w:t xml:space="preserve"> sobre las providencias STC17832-2025 y AC739-2026 de la Corte Suprema. Entrada </w:t>
      </w:r>
      <w:r>
        <w:rPr>
          <w:i/>
          <w:iCs/>
        </w:rPr>
        <w:t xml:space="preserve">Cuando la inteligencia artificial inventa el derecho: riesgos para la profesión jurídica</w:t>
      </w:r>
      <w:r>
        <w:t xml:space="preserve"> (Blog Jurídico TECH, Externado).</w:t>
      </w:r>
    </w:p>
    <w:p>
      <w:pPr>
        <w:pStyle w:val="Heading2"/>
      </w:pPr>
      <w:r>
        <w:t xml:space="preserve">Bloque 4 · 29-35 · Puesta en común y preguntas: deberes del abogado que usa IA</w:t>
      </w:r>
    </w:p>
    <w:p>
      <w:pPr>
        <w:spacing w:after="120"/>
      </w:pPr>
      <w:r>
        <w:rPr>
          <w:b/>
          <w:bCs/>
        </w:rPr>
        <w:t xml:space="preserve">Qué se hace.</w:t>
      </w:r>
      <w:r>
        <w:t xml:space="preserve"> Cuántos encontraron los cuatro problemas, cuál fue el más difícil (normalmente la cita distorsionada) y qué regla propusieron. El facilitador conduce dos preguntas de comprensión y una de debate (¿debe revelarse el uso de IA en escritos judiciales?) con los argumentos de la relatoría del Externado: independencia judicial, debido proceso, transparencia y responsabilidad. Cierra con el «mínimo de tres pasos» de verificación antes de radicar cualquier escrito. Las reglas propuestas se anotan en un rotafolio: son el borrador del protocolo que se consolida en el cierre.</w:t>
      </w:r>
    </w:p>
    <w:p>
      <w:pPr>
        <w:spacing w:after="120"/>
      </w:pPr>
      <w:r>
        <w:rPr>
          <w:b/>
          <w:bCs/>
        </w:rPr>
        <w:t xml:space="preserve">Notas.</w:t>
      </w:r>
      <w:r>
        <w:t xml:space="preserve"> Bloque elástico: si el ejercicio se alargó, se recorta aquí. Si hay tiempo, clip de 2 a 3 minutos de la </w:t>
      </w:r>
      <w:r>
        <w:rPr>
          <w:i/>
          <w:iCs/>
        </w:rPr>
        <w:t xml:space="preserve">Conferencia: La regulación de la IA y el Estado de Derecho: retos y oportunidades</w:t>
      </w:r>
      <w:r>
        <w:t xml:space="preserve"> (Facultad de Derecho Uniandes, 2024) o de </w:t>
      </w:r>
      <w:r>
        <w:rPr>
          <w:i/>
          <w:iCs/>
        </w:rPr>
        <w:t xml:space="preserve">Retos de la inteligencia artificial en la protección de los derechos humanos</w:t>
      </w:r>
      <w:r>
        <w:t xml:space="preserve"> (Facultad de Derecho Uniandes, 2025, </w:t>
      </w:r>
      <w:hyperlink w:history="1" r:id="rId4uwxxieixv-ezlrpfqpq3">
        <w:r>
          <w:rPr>
            <w:rStyle w:val="Hyperlink"/>
          </w:rPr>
          <w:t xml:space="preserve">https://www.youtube.com/watch?v=veu2Gt1BqeE</w:t>
        </w:r>
      </w:hyperlink>
      <w:r>
        <w:t xml:space="preserve">). El video </w:t>
      </w:r>
      <w:r>
        <w:rPr>
          <w:i/>
          <w:iCs/>
        </w:rPr>
        <w:t xml:space="preserve">Seminario-Taller sobre IA, el Estado de Derecho y el Sistema Judicial</w:t>
      </w:r>
      <w:r>
        <w:t xml:space="preserve"> que circula en YouTube tiene como ponente a Juan David Gutiérrez (Escuela de Gobierno, Uniandes), pero la verificación indica que el organizador fue el Poder Judicial de Paraguay: no se cita como fuente institucional de Uniandes.</w:t>
      </w:r>
    </w:p>
    <w:p>
      <w:pPr>
        <w:pStyle w:val="Heading2"/>
      </w:pPr>
      <w:r>
        <w:t xml:space="preserve">Bloque 5 · 35-41 · Video 2 (Externado): del contrato electrónico al smart contract</w:t>
      </w:r>
    </w:p>
    <w:p>
      <w:pPr>
        <w:spacing w:after="120"/>
      </w:pPr>
      <w:r>
        <w:rPr>
          <w:b/>
          <w:bCs/>
        </w:rPr>
        <w:t xml:space="preserve">Qué se hace.</w:t>
      </w:r>
      <w:r>
        <w:t xml:space="preserve"> Fragmento de 6 minutos de la conferencia </w:t>
      </w:r>
      <w:r>
        <w:rPr>
          <w:i/>
          <w:iCs/>
        </w:rPr>
        <w:t xml:space="preserve">Del contrato electrónico a los Smart contracts (contratos inteligentes): perspectivas y prospectiva</w:t>
      </w:r>
      <w:r>
        <w:t xml:space="preserve">, de Daniel Peña Valenzuela, profesor del Externado (2018, </w:t>
      </w:r>
      <w:hyperlink w:history="1" r:id="rId5qlfvcjtrtq1oyyaefur1">
        <w:r>
          <w:rPr>
            <w:rStyle w:val="Hyperlink"/>
          </w:rPr>
          <w:t xml:space="preserve">https://www.youtube.com/watch?v=-ihaM9HKMvg</w:t>
        </w:r>
      </w:hyperlink>
      <w:r>
        <w:t xml:space="preserve">): la evolución de la forma y el consentimiento (contratos web click-wrap y browse-wrap) y el salto al smart contract como ejecución automatizada. Roles de escucha por mitades de la sala: «abogado de la empresa» y «abogado del consumidor». Un minuto de puente del facilitador: la Ley 527 de 1999 ya respondió tres preguntas (validez del mensaje de datos, equivalentes funcionales, valor probatorio); lo nuevo es la ejecución automática e inmutable.</w:t>
      </w:r>
    </w:p>
    <w:p>
      <w:pPr>
        <w:spacing w:after="120"/>
      </w:pPr>
      <w:r>
        <w:rPr>
          <w:b/>
          <w:bCs/>
        </w:rPr>
        <w:t xml:space="preserve">Notas.</w:t>
      </w:r>
      <w:r>
        <w:t xml:space="preserve"> Elegir el fragmento que contraste contrato web y smart contract; evitar la introducción. Tener lista la diapositiva «chuleta» con los artículos 5, 6, 7, 8, 10, 11, 12 y 14 de la Ley 527 y el artículo 247 del CGP.</w:t>
      </w:r>
    </w:p>
    <w:p>
      <w:pPr>
        <w:pStyle w:val="Heading2"/>
      </w:pPr>
      <w:r>
        <w:t xml:space="preserve">Bloque 6 · 41-49 · Lectura guiada: Ley 527 dos décadas después y el problema de la inmutabilidad</w:t>
      </w:r>
    </w:p>
    <w:p>
      <w:pPr>
        <w:spacing w:after="120"/>
      </w:pPr>
      <w:r>
        <w:rPr>
          <w:b/>
          <w:bCs/>
        </w:rPr>
        <w:t xml:space="preserve">Qué se hace.</w:t>
      </w:r>
      <w:r>
        <w:t xml:space="preserve"> Dos extractos de una página preparados por el facilitador: (A) de las </w:t>
      </w:r>
      <w:r>
        <w:rPr>
          <w:i/>
          <w:iCs/>
        </w:rPr>
        <w:t xml:space="preserve">Memorias del I Foro Ley 527 de 1999: dos décadas después</w:t>
      </w:r>
      <w:r>
        <w:t xml:space="preserve"> (Observatics, Externado, foro coorganizado con la Universidad de los Andes en noviembre de 2019), sobre equivalencia funcional, firma electrónica y valor probatorio del mensaje de datos; (B) del artículo de Padilla Sánchez sobre inmutabilidad, desintermediación y errores de programación irreversibles. Formato leer-parejas-plenaria: 3 minutos de lectura individual, 3 en parejas con tres preguntas guía, 2 de plenaria.</w:t>
      </w:r>
    </w:p>
    <w:p>
      <w:pPr>
        <w:spacing w:after="120"/>
      </w:pPr>
      <w:r>
        <w:rPr>
          <w:b/>
          <w:bCs/>
        </w:rPr>
        <w:t xml:space="preserve">Preguntas guía proyectadas.</w:t>
      </w:r>
      <w:r>
        <w:t xml:space="preserve"> ¿Qué equivalentes funcionales reconoce la ley? ¿Por qué la impresión en papel no es el mensaje de datos? ¿Por qué la inmutabilidad, que es una ventaja técnica, es un problema jurídico?</w:t>
      </w:r>
    </w:p>
    <w:p>
      <w:pPr>
        <w:spacing w:after="120"/>
      </w:pPr>
      <w:r>
        <w:rPr>
          <w:b/>
          <w:bCs/>
        </w:rPr>
        <w:t xml:space="preserve">Notas.</w:t>
      </w:r>
      <w:r>
        <w:t xml:space="preserve"> No repartir los documentos completos. En la plenaria conectar (A) con el artículo 247 del CGP y (B) con los remedios del derecho de obligaciones que suponen reversibilidad (nulidad, resolución, restitución) y que un código inmutable no puede ejecutar por sí mismo.</w:t>
      </w:r>
    </w:p>
    <w:p>
      <w:pPr>
        <w:pStyle w:val="Heading2"/>
      </w:pPr>
      <w:r>
        <w:t xml:space="preserve">Bloque 7 · 49-65 · Taller 1: clínica de contratación y prueba electrónica</w:t>
      </w:r>
    </w:p>
    <w:p>
      <w:pPr>
        <w:spacing w:after="120"/>
      </w:pPr>
      <w:r>
        <w:t xml:space="preserve">Detalle completo en la sección 7.2. Grupos de 4 a 5 personas, relator y cronometrador por grupo, plantilla impresa. Parte A: contrato negociado por WhatsApp y correo que el proveedor niega. Parte B: smart contract que ejecutó el pago pese a mercancía defectuosa; los grupos eligen y justifican dos cláusulas modelo. Plenaria estricta de 4 minutos con dos grupos.</w:t>
      </w:r>
    </w:p>
    <w:p>
      <w:pPr>
        <w:pStyle w:val="Heading2"/>
      </w:pPr>
      <w:r>
        <w:t xml:space="preserve">Bloque 8 · 65-72 · Pausa</w:t>
      </w:r>
    </w:p>
    <w:p>
      <w:pPr>
        <w:spacing w:after="120"/>
      </w:pPr>
      <w:r>
        <w:t xml:space="preserve">Siete minutos. Se deja proyectado el caso del Taller 2 para quien regrese antes. Reorganizar las mesas (los grupos del Taller 2 son distintos), confirmar audio del Video 3, repartir plantillas de matriz y extractos traducidos de los casos de Harvard.</w:t>
      </w:r>
    </w:p>
    <w:p>
      <w:pPr>
        <w:pStyle w:val="Heading2"/>
      </w:pPr>
      <w:r>
        <w:t xml:space="preserve">Bloque 9 · 72-80 · Video 3 y marco (Uniandes y Externado): datos personales en la nube y en sistemas de IA</w:t>
      </w:r>
    </w:p>
    <w:p>
      <w:pPr>
        <w:spacing w:after="120"/>
      </w:pPr>
      <w:r>
        <w:rPr>
          <w:b/>
          <w:bCs/>
        </w:rPr>
        <w:t xml:space="preserve">Qué se hace.</w:t>
      </w:r>
      <w:r>
        <w:t xml:space="preserve"> Fragmento de 5 minutos de la conferencia de Nelson Remolina Angarita (Uniandes, fundador del GECTI) sobre protección de datos personales en computación en la nube: responsables y encargados, transferencias internacionales y deberes al contratar servicios cloud. Luego 3 minutos del facilitador con la diapositiva de </w:t>
      </w:r>
      <w:r>
        <w:rPr>
          <w:b/>
          <w:bCs/>
        </w:rPr>
        <w:t xml:space="preserve">cinco reglas</w:t>
      </w:r>
      <w:r>
        <w:t xml:space="preserve"> que es la «chuleta» del Taller 2: (1) responsable vs. encargado; (2) transferencia vs. transmisión internacional (art. 26 de la Ley 1581 y Decreto 1377 de 2013); (3) datos sensibles y biometría (arts. 5 y 6); (4) responsabilidad demostrada; (5) lineamientos de la Circular Externa 002 de 2024 de la SIC sobre tratamiento de datos en sistemas de IA, tal como fue presentada en el conversatorio del Externado con la Superintendencia Delegada para la Protección de Datos Personales.</w:t>
      </w:r>
    </w:p>
    <w:p>
      <w:pPr>
        <w:spacing w:after="120"/>
      </w:pPr>
      <w:r>
        <w:rPr>
          <w:b/>
          <w:bCs/>
        </w:rPr>
        <w:t xml:space="preserve">Notas.</w:t>
      </w:r>
      <w:r>
        <w:t xml:space="preserve"> Elegir el fragmento donde Remolina explica la relación responsable-encargado y la transferencia internacional. </w:t>
      </w:r>
      <w:r>
        <w:rPr>
          <w:b/>
          <w:bCs/>
        </w:rPr>
        <w:t xml:space="preserve">Plan B:</w:t>
      </w:r>
      <w:r>
        <w:t xml:space="preserve"> fragmento en español de la sesión de biometría de </w:t>
      </w:r>
      <w:r>
        <w:rPr>
          <w:i/>
          <w:iCs/>
        </w:rPr>
        <w:t xml:space="preserve">Seminarios web 2025</w:t>
      </w:r>
      <w:r>
        <w:t xml:space="preserve"> del Externado o de la </w:t>
      </w:r>
      <w:r>
        <w:rPr>
          <w:i/>
          <w:iCs/>
        </w:rPr>
        <w:t xml:space="preserve">Cuarta sesión de la Mesa de Trabajo Multiactor sobre Regulación de IA en Colombia</w:t>
      </w:r>
      <w:r>
        <w:t xml:space="preserve"> (Externado y Uniandes, </w:t>
      </w:r>
      <w:hyperlink w:history="1" r:id="rIdkephlfxtrgqx0klrrsecq">
        <w:r>
          <w:rPr>
            <w:rStyle w:val="Hyperlink"/>
          </w:rPr>
          <w:t xml:space="preserve">https://www.youtube.com/watch?v=IZOQWriItd8</w:t>
        </w:r>
      </w:hyperlink>
      <w:r>
        <w:t xml:space="preserve">). Confirmar antes de la sesión, en fuente primaria, el texto de la Circular Externa 002 de 2024 y el listado vigente de países con nivel adecuado de protección de la SIC.</w:t>
      </w:r>
    </w:p>
    <w:p>
      <w:pPr>
        <w:pStyle w:val="Heading2"/>
      </w:pPr>
      <w:r>
        <w:t xml:space="preserve">Bloque 10 · 80-103 · Taller 2: due diligence de datos e IA para contratar un proveedor</w:t>
      </w:r>
    </w:p>
    <w:p>
      <w:pPr>
        <w:spacing w:after="120"/>
      </w:pPr>
      <w:r>
        <w:t xml:space="preserve">Detalle completo en la sección 7.3. Caso: clínica odontológica que quiere contratar un asistente de IA generativa alojado en Estados Unidos para resumir historias clínicas y responder a pacientes, e implantar check-in por reconocimiento facial. Una sola matriz con formato semáforo (verde: obligación exigible; amarillo: mencionada sin mecanismo; rojo: ausente) y columna de evidencia. Herramientas: las cinco reglas, la lista de verificación de la Guía GECTI, el diagnóstico preliminar del Toolkit ético legal de IA de Uniandes, el caso CLOUD Act de Harvard Law School y los ocho temas de consenso de </w:t>
      </w:r>
      <w:r>
        <w:rPr>
          <w:i/>
          <w:iCs/>
        </w:rPr>
        <w:t xml:space="preserve">Principled AI</w:t>
      </w:r>
      <w:r>
        <w:t xml:space="preserve">.</w:t>
      </w:r>
    </w:p>
    <w:p>
      <w:pPr>
        <w:pStyle w:val="Heading2"/>
      </w:pPr>
      <w:r>
        <w:t xml:space="preserve">Bloque 11 · 103-106 · Video 4 (Harvard): apertura y supervisión de la IA</w:t>
      </w:r>
    </w:p>
    <w:p>
      <w:pPr>
        <w:spacing w:after="120"/>
      </w:pPr>
      <w:r>
        <w:rPr>
          <w:b/>
          <w:bCs/>
        </w:rPr>
        <w:t xml:space="preserve">Qué se hace.</w:t>
      </w:r>
      <w:r>
        <w:t xml:space="preserve"> Clip de 3 minutos de </w:t>
      </w:r>
      <w:r>
        <w:rPr>
          <w:i/>
          <w:iCs/>
        </w:rPr>
        <w:t xml:space="preserve">Jonathan Zittrain: Openness and Oversight of Artificial Intelligence</w:t>
      </w:r>
      <w:r>
        <w:t xml:space="preserve"> (Harvard Law School y Berkman Klein Center, 2017, </w:t>
      </w:r>
      <w:hyperlink w:history="1" r:id="rIdmhmahrqw9lfusjbv3dl9w">
        <w:r>
          <w:rPr>
            <w:rStyle w:val="Hyperlink"/>
          </w:rPr>
          <w:t xml:space="preserve">https://www.youtube.com/watch?v=Jf5o1Dlv28w</w:t>
        </w:r>
      </w:hyperlink>
      <w:r>
        <w:t xml:space="preserve">), con subtítulos en español, para abrir el bloque de decisiones automatizadas con la voz de Harvard en video y no solo en extracto traducido. Consigna: «anote la afirmación con la que menos esté de acuerdo».</w:t>
      </w:r>
    </w:p>
    <w:p>
      <w:pPr>
        <w:spacing w:after="120"/>
      </w:pPr>
      <w:r>
        <w:rPr>
          <w:b/>
          <w:bCs/>
        </w:rPr>
        <w:t xml:space="preserve">Notas.</w:t>
      </w:r>
      <w:r>
        <w:t xml:space="preserve"> </w:t>
      </w:r>
      <w:r>
        <w:rPr>
          <w:b/>
          <w:bCs/>
        </w:rPr>
        <w:t xml:space="preserve">Alternativa</w:t>
      </w:r>
      <w:r>
        <w:t xml:space="preserve"> del mismo centro: </w:t>
      </w:r>
      <w:r>
        <w:rPr>
          <w:i/>
          <w:iCs/>
        </w:rPr>
        <w:t xml:space="preserve">(Deep) Learning From the Bench: A Conversation on Algorithmic Fairness</w:t>
      </w:r>
      <w:r>
        <w:t xml:space="preserve"> (Berkman Klein Center, </w:t>
      </w:r>
      <w:hyperlink w:history="1" r:id="rIdabgd2eqyn2vzvxpqvqdya">
        <w:r>
          <w:rPr>
            <w:rStyle w:val="Hyperlink"/>
          </w:rPr>
          <w:t xml:space="preserve">https://www.youtube.com/watch?v=NlYjcldubBg</w:t>
        </w:r>
      </w:hyperlink>
      <w:r>
        <w:t xml:space="preserve">).</w:t>
      </w:r>
    </w:p>
    <w:p>
      <w:pPr>
        <w:pStyle w:val="Heading2"/>
      </w:pPr>
      <w:r>
        <w:t xml:space="preserve">Bloque 12 · 106-112 · Preguntas y debate: voz clonada, deepfakes y decisiones automatizadas</w:t>
      </w:r>
    </w:p>
    <w:p>
      <w:pPr>
        <w:spacing w:after="120"/>
      </w:pPr>
      <w:r>
        <w:rPr>
          <w:b/>
          <w:bCs/>
        </w:rPr>
        <w:t xml:space="preserve">Qué se hace.</w:t>
      </w:r>
      <w:r>
        <w:t xml:space="preserve"> Un solo escenario: un audio de 40 segundos con la voz clonada del socio director de una firma ordena al tesorero una transferencia urgente; días después la misma voz circula en redes atribuyéndole declaraciones falsas; la voz se clonó a partir de un webinar público. Se analiza con el caso de estudio </w:t>
      </w:r>
      <w:r>
        <w:rPr>
          <w:i/>
          <w:iCs/>
        </w:rPr>
        <w:t xml:space="preserve">Skin in the Game: Modulate AI</w:t>
      </w:r>
      <w:r>
        <w:t xml:space="preserve"> del Berkman Klein Center (suplantación, consentimiento, derechos sobre la voz) y con la nota de Uniandes sobre explicabilidad. Formato: 1 minuto de preparación por mesa, 1 minuto por posición, 1 de réplica; el facilitador cierra con la posición modelo (banco de preguntas, sección 8). Segunda pregunta si hay tiempo: ¿la «deuda intelectual» de Zittrain es argumento para prohibir las decisiones automatizadas o para exigir explicabilidad?</w:t>
      </w:r>
    </w:p>
    <w:p>
      <w:pPr>
        <w:spacing w:after="120"/>
      </w:pPr>
      <w:r>
        <w:rPr>
          <w:b/>
          <w:bCs/>
        </w:rPr>
        <w:t xml:space="preserve">Notas.</w:t>
      </w:r>
      <w:r>
        <w:t xml:space="preserve"> Ejemplo colombiano listo: audio aportado en un proceso laboral cuya autenticidad se cuestiona por posible deepfake; enlazar con el protocolo del Taller 1 (metadatos, cadena de custodia, peritaje) y con la carga de la prueba de autenticidad. </w:t>
      </w:r>
      <w:r>
        <w:rPr>
          <w:i/>
          <w:iCs/>
        </w:rPr>
        <w:t xml:space="preserve">Intellectual Debt</w:t>
      </w:r>
      <w:r>
        <w:t xml:space="preserve"> y </w:t>
      </w:r>
      <w:r>
        <w:rPr>
          <w:i/>
          <w:iCs/>
        </w:rPr>
        <w:t xml:space="preserve">Discrimination in the Age of Algorithms</w:t>
      </w:r>
      <w:r>
        <w:t xml:space="preserve"> quedan como lectura de cierre, no se exponen.</w:t>
      </w:r>
    </w:p>
    <w:p>
      <w:pPr>
        <w:pStyle w:val="Heading2"/>
      </w:pPr>
      <w:r>
        <w:t xml:space="preserve">Bloque 13 · 112-120 · Cierre</w:t>
      </w:r>
    </w:p>
    <w:p>
      <w:pPr>
        <w:spacing w:after="120"/>
      </w:pPr>
      <w:r>
        <w:rPr>
          <w:b/>
          <w:bCs/>
        </w:rPr>
        <w:t xml:space="preserve">Qué se hace.</w:t>
      </w:r>
      <w:r>
        <w:t xml:space="preserve"> (1) Evaluación relámpago de tres preguntas (sección 8, tipo «evaluación») a mano alzada o por formulario. (2) Retomar el sondeo de apertura: «¿alguien cambiaría hoy su respuesta?». (3) «Compromiso del lunes»: cada asistente escribe la acción concreta que hará la próxima semana con uno de los tres entregables; el facilitador presenta el protocolo de IA consolidado con las reglas del rotafolio. (4) Los cuatro deberes sobre las tres capas de Gasser-Almeida: qué resolvió la norma, qué exige un principio ético y qué solo resuelve la arquitectura técnica (marcas de agua, registros de auditoría, cifrado). (5) Rutas de profundización (sección 10). (6) La pregunta de aplicación más exigente del banco se envía como tarea por correo con retroalimentación individual.</w:t>
      </w:r>
    </w:p>
    <w:p>
      <w:pPr>
        <w:spacing w:after="120"/>
      </w:pPr>
      <w:r>
        <w:rPr>
          <w:b/>
          <w:bCs/>
        </w:rPr>
        <w:t xml:space="preserve">Notas.</w:t>
      </w:r>
      <w:r>
        <w:t xml:space="preserve"> No agregar contenido nuevo. Enviar el paquete digital el mismo día.</w:t>
      </w:r>
    </w:p>
    <w:p>
      <w:pPr>
        <w:pStyle w:val="Heading1"/>
      </w:pPr>
      <w:r>
        <w:t xml:space="preserve">7. Ejercicio y talleres (instrucciones completas)</w:t>
      </w:r>
    </w:p>
    <w:p>
      <w:pPr>
        <w:pStyle w:val="Heading2"/>
      </w:pPr>
      <w:r>
        <w:t xml:space="preserve">7.1 Ejercicio individual · Auditoría de un escrito elaborado con IA (15 min)</w:t>
      </w:r>
    </w:p>
    <w:p>
      <w:pPr>
        <w:spacing w:after="120"/>
      </w:pPr>
      <w:r>
        <w:rPr>
          <w:b/>
          <w:bCs/>
        </w:rPr>
        <w:t xml:space="preserve">Formato.</w:t>
      </w:r>
      <w:r>
        <w:t xml:space="preserve"> Individual, en silencio, papel y lápiz; clave proyectada al final. Materiales: memorial ficticio de una página, lista de verificación de cinco puntos, tarjetas para la regla del protocolo.</w:t>
      </w:r>
    </w:p>
    <w:p>
      <w:pPr>
        <w:spacing w:after="120"/>
      </w:pPr>
      <w:r>
        <w:rPr>
          <w:b/>
          <w:bCs/>
        </w:rPr>
        <w:t xml:space="preserve">Caso.</w:t>
      </w:r>
      <w:r>
        <w:t xml:space="preserve"> Usted es el socio que debe firmar hoy, antes de las 4 p. m., un recurso de reposición de una página que un asociado redactó con ayuda de una herramienta de IA generativa. El texto: (a) cita una sentencia de la Corte Suprema de Justicia con número, fecha y magistrado ponente que no existen; (b) afirma que el artículo 247 del Código General del Proceso dispone que «la impresión en papel del mensaje de datos tiene el mismo valor probatorio que el original»; (c) atribuye a la Corte Suprema un aparte que en realidad pertenece a la Sentencia T-323 de 2024 de la Corte Constitucional; y (d) incluye en un pie de página el diagnóstico médico del cliente con la nota «contexto que le di a la IA».</w:t>
      </w:r>
    </w:p>
    <w:p>
      <w:pPr>
        <w:spacing w:after="120"/>
      </w:pPr>
      <w:r>
        <w:rPr>
          <w:b/>
          <w:bCs/>
        </w:rPr>
        <w:t xml:space="preserve">Consigna.</w:t>
      </w:r>
      <w:r>
        <w:t xml:space="preserve"> Marque todo lo que no firmaría, clasifique cada hallazgo (fuente inexistente, cita distorsionada, fuente equivocada, confidencialidad y datos sensibles) y escriba la acción correctiva.</w:t>
      </w:r>
    </w:p>
    <w:p>
      <w:pPr>
        <w:spacing w:after="120"/>
      </w:pPr>
      <w:r>
        <w:rPr>
          <w:b/>
          <w:bCs/>
        </w:rPr>
        <w:t xml:space="preserve">Lista de verificación de cinco puntos.</w:t>
      </w:r>
      <w:r>
        <w:t xml:space="preserve"> (1) Existencia y vigencia de la fuente. (2) Fidelidad de la cita. (3) Pertinencia. (4) Confidencialidad y datos personales. (5) Trazabilidad y firma responsable.</w:t>
      </w:r>
    </w:p>
    <w:p>
      <w:pPr>
        <w:spacing w:after="120"/>
      </w:pPr>
      <w:r>
        <w:rPr>
          <w:b/>
          <w:bCs/>
        </w:rPr>
        <w:t xml:space="preserve">Pasos.</w:t>
      </w:r>
    </w:p>
    <w:p>
      <w:pPr>
        <w:pStyle w:val="ListParagraph"/>
        <w:numPr>
          <w:ilvl w:val="0"/>
          <w:numId w:val="5"/>
        </w:numPr>
      </w:pPr>
      <w:r>
        <w:t xml:space="preserve">Antes de la sesión: redactar el memorial con los cuatro problemas; usar números de sentencia evidentemente inventados (con letras o un año imposible) y señalarlo en la clave, para no difundir una cita falsa verosímil.</w:t>
      </w:r>
    </w:p>
    <w:p>
      <w:pPr>
        <w:pStyle w:val="ListParagraph"/>
        <w:numPr>
          <w:ilvl w:val="0"/>
          <w:numId w:val="5"/>
        </w:numPr>
      </w:pPr>
      <w:r>
        <w:t xml:space="preserve">Minuto 0-3: consigna. Explicar en una frase la consecuencia real reseñada por el Externado: la Corte Suprema estudió una tutela contra una decisión de un tribunal apoyada exclusivamente en jurisprudencia inexistente (STC17832-2025), y la T-323 de 2024 exige transparencia y responsabilidad a quien usa IA. Regla del ejercicio: «quien firma responde».</w:t>
      </w:r>
    </w:p>
    <w:p>
      <w:pPr>
        <w:pStyle w:val="ListParagraph"/>
        <w:numPr>
          <w:ilvl w:val="0"/>
          <w:numId w:val="5"/>
        </w:numPr>
      </w:pPr>
      <w:r>
        <w:t xml:space="preserve">Minuto 3-13: trabajo individual en silencio. El facilitador solo aclara la consigna.</w:t>
      </w:r>
    </w:p>
    <w:p>
      <w:pPr>
        <w:pStyle w:val="ListParagraph"/>
        <w:numPr>
          <w:ilvl w:val="0"/>
          <w:numId w:val="5"/>
        </w:numPr>
      </w:pPr>
      <w:r>
        <w:t xml:space="preserve">Minuto 13-15: clave proyectada con los cuatro hallazgos y la acción correctiva de cada uno: eliminar o sustituir la cita inexistente tras buscarla en la relatoría oficial; corregir la cita del artículo 247 con el texto exacto (los documentos aportados en el formato en que fueron generados, enviados o recibidos, o en otro que los reproduzca con exactitud, se valoran como mensajes de datos; la simple impresión en papel se valora conforme a las reglas generales de los documentos); reatribuir el aparte a la Corte Constitucional; retirar el dato sensible y revisar en qué herramienta se ingresó y con qué configuración de privacidad. Autocalificación de 0 a 4 y una regla escrita en la tarjeta.</w:t>
      </w:r>
    </w:p>
    <w:p>
      <w:pPr>
        <w:pStyle w:val="ListParagraph"/>
        <w:numPr>
          <w:ilvl w:val="0"/>
          <w:numId w:val="5"/>
        </w:numPr>
      </w:pPr>
      <w:r>
        <w:t xml:space="preserve">Recoger las tarjetas; el facilitador las consolida durante la pausa.</w:t>
      </w:r>
    </w:p>
    <w:p>
      <w:pPr>
        <w:spacing w:after="120"/>
      </w:pPr>
      <w:r>
        <w:rPr>
          <w:b/>
          <w:bCs/>
        </w:rPr>
        <w:t xml:space="preserve">Entregable.</w:t>
      </w:r>
      <w:r>
        <w:t xml:space="preserve"> Hoja de hallazgos autocalificada y una regla por asistente para el protocolo de la firma; el facilitador consolida un borrador de una página que se envía el mismo día.</w:t>
      </w:r>
    </w:p>
    <w:p>
      <w:pPr>
        <w:spacing w:after="120"/>
      </w:pPr>
      <w:r>
        <w:rPr>
          <w:b/>
          <w:bCs/>
        </w:rPr>
        <w:t xml:space="preserve">Fuentes.</w:t>
      </w:r>
      <w:r>
        <w:t xml:space="preserve"> Resumen de la T-323 (Externado); Relatoría del conversatorio sobre la T-323 (Externado); </w:t>
      </w:r>
      <w:r>
        <w:rPr>
          <w:i/>
          <w:iCs/>
        </w:rPr>
        <w:t xml:space="preserve">El Externado analiza el uso de la IA en la justicia colombiana</w:t>
      </w:r>
      <w:r>
        <w:t xml:space="preserve"> (STC17832-2025 y AC739-2026); </w:t>
      </w:r>
      <w:r>
        <w:rPr>
          <w:i/>
          <w:iCs/>
        </w:rPr>
        <w:t xml:space="preserve">El uso de IA generativa en la Administración de Justicia: a propósito de la Sentencia STC17832-2025</w:t>
      </w:r>
      <w:r>
        <w:t xml:space="preserve"> (Centro de Estudios sobre Genética y Derecho, Externado); JOLT Primer (Harvard).</w:t>
      </w:r>
    </w:p>
    <w:p>
      <w:pPr>
        <w:pStyle w:val="Heading2"/>
      </w:pPr>
      <w:r>
        <w:t xml:space="preserve">7.2 Taller 1 · Clínica de contratación y prueba electrónica (16 min)</w:t>
      </w:r>
    </w:p>
    <w:p>
      <w:pPr>
        <w:spacing w:after="120"/>
      </w:pPr>
      <w:r>
        <w:rPr>
          <w:b/>
          <w:bCs/>
        </w:rPr>
        <w:t xml:space="preserve">Formato.</w:t>
      </w:r>
      <w:r>
        <w:t xml:space="preserve"> Grupos de 4 a 5; relator y cronometrador por grupo; plantilla impresa (Parte A: protocolo de seis casillas; Parte B: elección y justificación de cláusulas); «chuleta» proyectada de la Ley 527 de 1999 y del artículo 247 del CGP; plenaria de dos grupos.</w:t>
      </w:r>
    </w:p>
    <w:p>
      <w:pPr>
        <w:spacing w:after="120"/>
      </w:pPr>
      <w:r>
        <w:rPr>
          <w:b/>
          <w:bCs/>
        </w:rPr>
        <w:t xml:space="preserve">Caso.</w:t>
      </w:r>
      <w:r>
        <w:t xml:space="preserve"> Distribuidora Andina S.A.S. negoció por WhatsApp y correo con un proveedor la compra de 500 unidades. El proveedor envió por correo una orden en PDF sin firma; el gerente de Andina respondió por WhatsApp «listo, de acuerdo, despachen el lunes» y envió una nota de voz confirmando precio y fecha. El proveedor no despachó y hoy niega que haya contrato. </w:t>
      </w:r>
      <w:r>
        <w:rPr>
          <w:b/>
          <w:bCs/>
        </w:rPr>
        <w:t xml:space="preserve">Parte A:</w:t>
      </w:r>
      <w:r>
        <w:t xml:space="preserve"> ¿hubo contrato? ¿Cómo asegura y aporta la prueba? </w:t>
      </w:r>
      <w:r>
        <w:rPr>
          <w:b/>
          <w:bCs/>
        </w:rPr>
        <w:t xml:space="preserve">Parte B:</w:t>
      </w:r>
      <w:r>
        <w:t xml:space="preserve"> en otro negocio, Andina usó un smart contract que liberaba el pago automáticamente cuando un sensor confirmaba la entrega; el sensor confirmó, el pago se ejecutó y la mercancía llegó defectuosa. El código no prevé reversión. ¿Qué remedio tiene Andina y qué dos cláusulas habría exigido antes de firmar?</w:t>
      </w:r>
    </w:p>
    <w:p>
      <w:pPr>
        <w:spacing w:after="120"/>
      </w:pPr>
      <w:r>
        <w:rPr>
          <w:b/>
          <w:bCs/>
        </w:rPr>
        <w:t xml:space="preserve">Pasos.</w:t>
      </w:r>
    </w:p>
    <w:p>
      <w:pPr>
        <w:pStyle w:val="ListParagraph"/>
        <w:numPr>
          <w:ilvl w:val="0"/>
          <w:numId w:val="6"/>
        </w:numPr>
      </w:pPr>
      <w:r>
        <w:t xml:space="preserve">Minuto 0-2: lectura individual del caso con la chuleta proyectada (arts. 5, 6, 7, 8, 10, 11, 12 y 14 de la Ley 527; art. 247 del CGP).</w:t>
      </w:r>
    </w:p>
    <w:p>
      <w:pPr>
        <w:pStyle w:val="ListParagraph"/>
        <w:numPr>
          <w:ilvl w:val="0"/>
          <w:numId w:val="6"/>
        </w:numPr>
      </w:pPr>
      <w:r>
        <w:t xml:space="preserve">Minuto 2-8 (Parte A): el grupo decide si hubo contrato (formación por mensajes de datos, art. 14; equivalente funcional de firma, art. 7: método confiable y apropiado, reforzado por la nota de voz y los correos) y llena el </w:t>
      </w:r>
      <w:r>
        <w:rPr>
          <w:b/>
          <w:bCs/>
        </w:rPr>
        <w:t xml:space="preserve">protocolo de seis casillas</w:t>
      </w:r>
      <w:r>
        <w:t xml:space="preserve">: (1) conservar el dispositivo original y no borrar el chat; (2) exportar la conversación completa con metadatos y adjuntos; (3) calcular y registrar el hash de los archivos exportados; (4) documentar la extracción con acta, certificación notarial o informe pericial según la cuantía; (5) aportar en el formato original o en uno que lo reproduzca con exactitud (art. 247 CGP), nunca solo la impresión; (6) identificar al iniciador (número, nombre de contacto, correos cruzados) y solicitar exhibición si la contraparte controla otra copia.</w:t>
      </w:r>
    </w:p>
    <w:p>
      <w:pPr>
        <w:pStyle w:val="ListParagraph"/>
        <w:numPr>
          <w:ilvl w:val="0"/>
          <w:numId w:val="6"/>
        </w:numPr>
      </w:pPr>
      <w:r>
        <w:t xml:space="preserve">Minuto 8-12 (Parte B): el grupo identifica el remedio (incumplimiento por entrega defectuosa con pago ya ejecutado: restitución o indemnización por la vía ordinaria o arbitral, porque la inmutabilidad del código no extingue las obligaciones subyacentes, como explica Padilla Sánchez) y </w:t>
      </w:r>
      <w:r>
        <w:rPr>
          <w:b/>
          <w:bCs/>
        </w:rPr>
        <w:t xml:space="preserve">elige, entre dos cláusulas modelo ya redactadas por el facilitador, cuál exigiría primero y por qué</w:t>
      </w:r>
      <w:r>
        <w:t xml:space="preserve"> (dos líneas): (i) «función de pausa y corrección»: el código incluirá un mecanismo de suspensión y un oráculo o tercero verificador cuya confirmación de conformidad, no solo de entrega, condiciona el pago; (ii) «prevalencia y jurisdicción»: el texto en lenguaje natural prevalece sobre el código en caso de discrepancia, ley aplicable colombiana y cláusula compromisoria o juez competente.</w:t>
      </w:r>
    </w:p>
    <w:p>
      <w:pPr>
        <w:pStyle w:val="ListParagraph"/>
        <w:numPr>
          <w:ilvl w:val="0"/>
          <w:numId w:val="6"/>
        </w:numPr>
      </w:pPr>
      <w:r>
        <w:t xml:space="preserve">Minuto 12-16: plenaria. Dos grupos presentan, un minuto cada uno (uno la Parte A y otro la Parte B). El facilitador proyecta su plantilla modelo y marca las diferencias.</w:t>
      </w:r>
    </w:p>
    <w:p>
      <w:pPr>
        <w:pStyle w:val="ListParagraph"/>
        <w:numPr>
          <w:ilvl w:val="0"/>
          <w:numId w:val="6"/>
        </w:numPr>
      </w:pPr>
      <w:r>
        <w:t xml:space="preserve">Fotografiar o escanear las plantillas para el paquete digital.</w:t>
      </w:r>
    </w:p>
    <w:p>
      <w:pPr>
        <w:spacing w:after="120"/>
      </w:pPr>
      <w:r>
        <w:rPr>
          <w:b/>
          <w:bCs/>
        </w:rPr>
        <w:t xml:space="preserve">Entregable.</w:t>
      </w:r>
      <w:r>
        <w:t xml:space="preserve"> Protocolo de conservación y aportación de mensajes de datos (una página, seis casillas) y dos cláusulas modelo para contratos con ejecución automatizada.</w:t>
      </w:r>
    </w:p>
    <w:p>
      <w:pPr>
        <w:spacing w:after="120"/>
      </w:pPr>
      <w:r>
        <w:rPr>
          <w:b/>
          <w:bCs/>
        </w:rPr>
        <w:t xml:space="preserve">Fuentes.</w:t>
      </w:r>
      <w:r>
        <w:t xml:space="preserve"> </w:t>
      </w:r>
      <w:r>
        <w:rPr>
          <w:i/>
          <w:iCs/>
        </w:rPr>
        <w:t xml:space="preserve">Memorias I Foro Ley 527 de 1999: dos décadas después</w:t>
      </w:r>
      <w:r>
        <w:t xml:space="preserve"> (Observatics, Externado); Padilla Sánchez, </w:t>
      </w:r>
      <w:r>
        <w:rPr>
          <w:i/>
          <w:iCs/>
        </w:rPr>
        <w:t xml:space="preserve">Blockchain y contratos inteligentes</w:t>
      </w:r>
      <w:r>
        <w:t xml:space="preserve"> (Revista de Derecho Privado n.º 39, Externado); Almonacid Sierra y Coronel Ávila, </w:t>
      </w:r>
      <w:r>
        <w:rPr>
          <w:i/>
          <w:iCs/>
        </w:rPr>
        <w:t xml:space="preserve">Aplicabilidad de la inteligencia artificial y la tecnología blockchain en el derecho contractual privado</w:t>
      </w:r>
      <w:r>
        <w:t xml:space="preserve"> (Revista de Derecho Privado n.º 38, Externado); conferencia de Daniel Peña Valenzuela (Externado).</w:t>
      </w:r>
    </w:p>
    <w:p>
      <w:pPr>
        <w:pStyle w:val="Heading2"/>
      </w:pPr>
      <w:r>
        <w:t xml:space="preserve">7.3 Taller 2 · Due diligence de datos e IA para contratar un proveedor (23 min)</w:t>
      </w:r>
    </w:p>
    <w:p>
      <w:pPr>
        <w:spacing w:after="120"/>
      </w:pPr>
      <w:r>
        <w:rPr>
          <w:b/>
          <w:bCs/>
        </w:rPr>
        <w:t xml:space="preserve">Formato.</w:t>
      </w:r>
      <w:r>
        <w:t xml:space="preserve"> Grupos de 4 a 5 distintos a los del Taller 1 (mezclar litigantes y asesores); una plantilla de matriz por grupo (columnas: riesgo, norma, medida o cláusula, evidencia exigible, semáforo); extractos traducidos de media página de los casos de Harvard (CLOUD Act y </w:t>
      </w:r>
      <w:r>
        <w:rPr>
          <w:i/>
          <w:iCs/>
        </w:rPr>
        <w:t xml:space="preserve">Principled AI</w:t>
      </w:r>
      <w:r>
        <w:t xml:space="preserve">); diapositiva de las cinco reglas a la vista; el diagnóstico preliminar del Toolkit ético legal de IA de Uniandes impreso; plenaria de dos grupos.</w:t>
      </w:r>
    </w:p>
    <w:p>
      <w:pPr>
        <w:spacing w:after="120"/>
      </w:pPr>
      <w:r>
        <w:rPr>
          <w:b/>
          <w:bCs/>
        </w:rPr>
        <w:t xml:space="preserve">Caso.</w:t>
      </w:r>
      <w:r>
        <w:t xml:space="preserve"> SaludSonrisa, clínica odontológica con 40.000 pacientes, pide concepto para: (1) contratar un asistente de IA generativa de un proveedor con servidores en Estados Unidos que resumirá historias clínicas y redactará respuestas a pacientes; el proveedor ofrece «anonimizar» los datos y se reserva usarlos para «mejorar el servicio»; (2) implantar check-in por reconocimiento facial en recepción para «agilizar la atención». El gerente quiere firmar el viernes. Entregue una matriz con semáforo por cada uso y la lista de cláusulas y medidas que exigiría antes de firmar.</w:t>
      </w:r>
    </w:p>
    <w:p>
      <w:pPr>
        <w:spacing w:after="120"/>
      </w:pPr>
      <w:r>
        <w:rPr>
          <w:b/>
          <w:bCs/>
        </w:rPr>
        <w:t xml:space="preserve">Semáforo.</w:t>
      </w:r>
      <w:r>
        <w:t xml:space="preserve"> Verde: obligación exigible y verificable ya prevista. Amarillo: principio mencionado por el proveedor sin mecanismo de cumplimiento. Rojo: ausente. Cada fila lleva la evidencia que se pediría (política, certificado, cláusula, registro, prueba).</w:t>
      </w:r>
    </w:p>
    <w:p>
      <w:pPr>
        <w:spacing w:after="120"/>
      </w:pPr>
      <w:r>
        <w:rPr>
          <w:b/>
          <w:bCs/>
        </w:rPr>
        <w:t xml:space="preserve">Pasos.</w:t>
      </w:r>
    </w:p>
    <w:p>
      <w:pPr>
        <w:pStyle w:val="ListParagraph"/>
        <w:numPr>
          <w:ilvl w:val="0"/>
          <w:numId w:val="7"/>
        </w:numPr>
      </w:pPr>
      <w:r>
        <w:t xml:space="preserve">Minuto 0-2: lectura del caso con las cinco reglas a la vista. Aplicar primero la pregunta inicial del Toolkit ético legal de Uniandes: ¿el proyecto realmente usa IA y para qué decisiones?</w:t>
      </w:r>
    </w:p>
    <w:p>
      <w:pPr>
        <w:pStyle w:val="ListParagraph"/>
        <w:numPr>
          <w:ilvl w:val="0"/>
          <w:numId w:val="7"/>
        </w:numPr>
      </w:pPr>
      <w:r>
        <w:t xml:space="preserve">Minuto 2-8 (bases jurídicas y datos sensibles): los datos de salud y los biométricos son sensibles (art. 5 Ley 1581): autorización previa, expresa e informada, con la advertencia de que el titular no está obligado a darla (art. 6); para la biometría, prueba de necesidad y proporcionalidad frente a una alternativa menos invasiva, siguiendo el análisis del caso Mercado Libre reseñado por el Externado; información al titular sobre el tratamiento con IA y aplicación de los lineamientos de la Circular Externa 002 de 2024 de la SIC.</w:t>
      </w:r>
    </w:p>
    <w:p>
      <w:pPr>
        <w:pStyle w:val="ListParagraph"/>
        <w:numPr>
          <w:ilvl w:val="0"/>
          <w:numId w:val="7"/>
        </w:numPr>
      </w:pPr>
      <w:r>
        <w:t xml:space="preserve">Minuto 8-14 (transferencia, transmisión y accountability): determinar si el proveedor actúa como encargado (transmisión: contrato con los deberes del art. 18 de la Ley 1581 y del Decreto 1377 de 2013) o como responsable (transferencia: art. 26, nivel adecuado o excepción); aplicar la lista de verificación de la Guía GECTI (políticas, evaluación de riesgos, contratos, auditoría, registro de evidencias); con el caso CLOUD Act de Harvard discutir qué ocurre si una autoridad de EE. UU. requiere los datos al proveedor: exigir cifrado con llaves en poder de la clínica, ubicación y segregación de datos, notificación de requerimientos y prohibición de usar los datos para entrenar modelos. Evaluar si la «anonimización» ofrecida es irreversible o mera seudonimización que sigue siendo dato personal.</w:t>
      </w:r>
    </w:p>
    <w:p>
      <w:pPr>
        <w:pStyle w:val="ListParagraph"/>
        <w:numPr>
          <w:ilvl w:val="0"/>
          <w:numId w:val="7"/>
        </w:numPr>
      </w:pPr>
      <w:r>
        <w:t xml:space="preserve">Minuto 14-19 (de principios a cláusulas): tomar los ocho temas de consenso de </w:t>
      </w:r>
      <w:r>
        <w:rPr>
          <w:i/>
          <w:iCs/>
        </w:rPr>
        <w:t xml:space="preserve">Principled AI</w:t>
      </w:r>
      <w:r>
        <w:t xml:space="preserve"> (privacidad, rendición de cuentas, seguridad, transparencia y explicabilidad, equidad y no discriminación, control humano, responsabilidad profesional, promoción de valores humanos) y convertir al menos cinco en cláusulas verificables: registro de consultas y salidas, revisión humana antes de enviar cualquier respuesta a pacientes, pruebas de sesgo y tasa de error del reconocimiento facial, derecho de auditoría, plan de incidentes y notificación a la SIC. Asignar el semáforo a cada uso. </w:t>
      </w:r>
      <w:r>
        <w:rPr>
          <w:b/>
          <w:bCs/>
        </w:rPr>
        <w:t xml:space="preserve">Pregunta incómoda</w:t>
      </w:r>
      <w:r>
        <w:t xml:space="preserve"> del facilitador al circular: «¿y si el proveedor además entrena su modelo con las historias clínicas?».</w:t>
      </w:r>
    </w:p>
    <w:p>
      <w:pPr>
        <w:pStyle w:val="ListParagraph"/>
        <w:numPr>
          <w:ilvl w:val="0"/>
          <w:numId w:val="7"/>
        </w:numPr>
      </w:pPr>
      <w:r>
        <w:t xml:space="preserve">Minuto 19-23: plenaria. Dos grupos con semáforos distintos (si los hay) exponen un minuto cada uno; el facilitador cierra con su matriz modelo. Resultado esperable: IA generativa «condicionado» con cláusulas y sin uso para entrenamiento; reconocimiento facial «no» o «condicionado» solo si se demuestra necesidad y existe alternativa voluntaria.</w:t>
      </w:r>
    </w:p>
    <w:p>
      <w:pPr>
        <w:spacing w:after="120"/>
      </w:pPr>
      <w:r>
        <w:rPr>
          <w:b/>
          <w:bCs/>
        </w:rPr>
        <w:t xml:space="preserve">Entregable.</w:t>
      </w:r>
      <w:r>
        <w:t xml:space="preserve"> Matriz de riesgo y cláusulas (una página) con semáforo por uso, reutilizable como lista de chequeo de due diligence de proveedores de datos e IA.</w:t>
      </w:r>
    </w:p>
    <w:p>
      <w:pPr>
        <w:spacing w:after="120"/>
      </w:pPr>
      <w:r>
        <w:rPr>
          <w:b/>
          <w:bCs/>
        </w:rPr>
        <w:t xml:space="preserve">Fuentes.</w:t>
      </w:r>
      <w:r>
        <w:t xml:space="preserve"> Guía GECTI de responsabilidad demostrada (Uniandes); Toolkit ético legal de inteligencia artificial (Facultad de Derecho y GECTI, Uniandes); </w:t>
      </w:r>
      <w:r>
        <w:rPr>
          <w:i/>
          <w:iCs/>
        </w:rPr>
        <w:t xml:space="preserve">CLOUD Act Enforcement</w:t>
      </w:r>
      <w:r>
        <w:t xml:space="preserve"> (Harvard Law School Case Studies); </w:t>
      </w:r>
      <w:r>
        <w:rPr>
          <w:i/>
          <w:iCs/>
        </w:rPr>
        <w:t xml:space="preserve">Principled Artificial Intelligence</w:t>
      </w:r>
      <w:r>
        <w:t xml:space="preserve"> (Berkman Klein Center, 2020); </w:t>
      </w:r>
      <w:r>
        <w:rPr>
          <w:i/>
          <w:iCs/>
        </w:rPr>
        <w:t xml:space="preserve">Biometría bajo la lupa: el caso Mercado Libre y las nuevas reglas de juego</w:t>
      </w:r>
      <w:r>
        <w:t xml:space="preserve"> (Externado); conversatorio sobre la Circular Externa 002 de 2024 (Externado); conferencia de Nelson Remolina sobre cloud computing (Uniandes).</w:t>
      </w:r>
    </w:p>
    <w:p>
      <w:pPr>
        <w:pStyle w:val="Heading1"/>
      </w:pPr>
      <w:r>
        <w:t xml:space="preserve">8. Banco de preguntas con respuesta modelo</w:t>
      </w:r>
    </w:p>
    <w:p>
      <w:pPr>
        <w:pStyle w:val="Heading2"/>
      </w:pPr>
      <w:r>
        <w:t xml:space="preserve">Apertura</w:t>
      </w:r>
    </w:p>
    <w:p>
      <w:pPr>
        <w:pStyle w:val="ListParagraph"/>
        <w:numPr>
          <w:ilvl w:val="0"/>
          <w:numId w:val="8"/>
        </w:numPr>
      </w:pPr>
      <w:r>
        <w:rPr>
          <w:b/>
          <w:bCs/>
        </w:rPr>
        <w:t xml:space="preserve">¿Qué tarea de su práctica delegaría hoy a una herramienta de IA generativa y cuál nunca delegaría? ¿Por qué?</w:t>
      </w:r>
    </w:p>
    <w:p>
      <w:pPr>
        <w:spacing w:after="120"/>
        <w:ind w:left="720"/>
      </w:pPr>
      <w:r>
        <w:rPr>
          <w:color w:val="333333"/>
          <w:sz w:val="20"/>
          <w:szCs w:val="20"/>
        </w:rPr>
        <w:t xml:space="preserve">Delegables: primeros borradores, resúmenes de expedientes, búsqueda inicial de normas, organización de documentos. No delegables: verificación de fuentes, estrategia, valoración de la prueba y firma. El JOLT Primer muestra que el software ya ejecuta tareas jurídicas, pero la responsabilidad profesional y la supervisión humana permanecen en el abogado. </w:t>
      </w:r>
      <w:r>
        <w:rPr>
          <w:i/>
          <w:iCs/>
          <w:color w:val="333333"/>
          <w:sz w:val="20"/>
          <w:szCs w:val="20"/>
        </w:rPr>
        <w:t xml:space="preserve">(Harvard)</w:t>
      </w:r>
    </w:p>
    <w:p>
      <w:pPr>
        <w:pStyle w:val="ListParagraph"/>
        <w:numPr>
          <w:ilvl w:val="0"/>
          <w:numId w:val="8"/>
        </w:numPr>
      </w:pPr>
      <w:r>
        <w:rPr>
          <w:b/>
          <w:bCs/>
        </w:rPr>
        <w:t xml:space="preserve">Si un juez ya decidió y luego consulta a ChatGPT para redactar, ¿cambia algo? ¿Y si quien consulta es el abogado que radica el escrito?</w:t>
      </w:r>
    </w:p>
    <w:p>
      <w:pPr>
        <w:spacing w:after="120"/>
        <w:ind w:left="720"/>
      </w:pPr>
      <w:r>
        <w:rPr>
          <w:color w:val="333333"/>
          <w:sz w:val="20"/>
          <w:szCs w:val="20"/>
        </w:rPr>
        <w:t xml:space="preserve">En la T-323 de 2024 la Corte concluyó que no hubo sustitución de la función judicial porque el juez ya había decidido, pero advirtió que no se satisficieron plenamente transparencia y responsabilidad y que la IA no reemplaza el razonamiento humano indelegable. Para el abogado aplican deberes análogos: verificar, proteger los datos del cliente y responder por lo que firma. </w:t>
      </w:r>
      <w:r>
        <w:rPr>
          <w:i/>
          <w:iCs/>
          <w:color w:val="333333"/>
          <w:sz w:val="20"/>
          <w:szCs w:val="20"/>
        </w:rPr>
        <w:t xml:space="preserve">(Externado)</w:t>
      </w:r>
    </w:p>
    <w:p>
      <w:pPr>
        <w:pStyle w:val="ListParagraph"/>
        <w:numPr>
          <w:ilvl w:val="0"/>
          <w:numId w:val="8"/>
        </w:numPr>
      </w:pPr>
      <w:r>
        <w:rPr>
          <w:b/>
          <w:bCs/>
        </w:rPr>
        <w:t xml:space="preserve">Cuando usted usa una aplicación bancaria, ¿qué regula más su conducta: la Ley 1581 de 2012, los términos y condiciones o el diseño de la pantalla?</w:t>
      </w:r>
    </w:p>
    <w:p>
      <w:pPr>
        <w:spacing w:after="120"/>
        <w:ind w:left="720"/>
      </w:pPr>
      <w:r>
        <w:rPr>
          <w:color w:val="333333"/>
          <w:sz w:val="20"/>
          <w:szCs w:val="20"/>
        </w:rPr>
        <w:t xml:space="preserve">Las tres, en modalidades distintas según Lessig: ley, mercado/contrato y arquitectura. El punto es que el diseño (código) regula sin necesidad de norma ni consentimiento, y por eso el abogado debe aprender a leerlo y a exigirle cosas en el contrato. </w:t>
      </w:r>
      <w:r>
        <w:rPr>
          <w:i/>
          <w:iCs/>
          <w:color w:val="333333"/>
          <w:sz w:val="20"/>
          <w:szCs w:val="20"/>
        </w:rPr>
        <w:t xml:space="preserve">(Harvard)</w:t>
      </w:r>
    </w:p>
    <w:p>
      <w:pPr>
        <w:pStyle w:val="ListParagraph"/>
        <w:numPr>
          <w:ilvl w:val="0"/>
          <w:numId w:val="8"/>
        </w:numPr>
      </w:pPr>
      <w:r>
        <w:rPr>
          <w:b/>
          <w:bCs/>
        </w:rPr>
        <w:t xml:space="preserve">¿Qué «cibercompetencias» le exigirá un cliente a su firma en 2027 y cuál de ellas no tiene hoy?</w:t>
      </w:r>
    </w:p>
    <w:p>
      <w:pPr>
        <w:spacing w:after="120"/>
        <w:ind w:left="720"/>
      </w:pPr>
      <w:r>
        <w:rPr>
          <w:color w:val="333333"/>
          <w:sz w:val="20"/>
          <w:szCs w:val="20"/>
        </w:rPr>
        <w:t xml:space="preserve">El libro de Uniandes plantea que abogados, jueces y legisladores requieren entender cómo funcionan las tecnologías que regulan o usan, saber contratar tecnología, gestionar datos personales y usar herramientas legaltech con criterio. Respuesta esperable: la mayoría sabe usar herramientas pero no sabe auditar su salida ni asegurar prueba digital. </w:t>
      </w:r>
      <w:r>
        <w:rPr>
          <w:i/>
          <w:iCs/>
          <w:color w:val="333333"/>
          <w:sz w:val="20"/>
          <w:szCs w:val="20"/>
        </w:rPr>
        <w:t xml:space="preserve">(Uniandes)</w:t>
      </w:r>
    </w:p>
    <w:p>
      <w:pPr>
        <w:pStyle w:val="Heading2"/>
      </w:pPr>
      <w:r>
        <w:t xml:space="preserve">Comprensión</w:t>
      </w:r>
    </w:p>
    <w:p>
      <w:pPr>
        <w:pStyle w:val="ListParagraph"/>
        <w:numPr>
          <w:ilvl w:val="0"/>
          <w:numId w:val="9"/>
        </w:numPr>
      </w:pPr>
      <w:r>
        <w:rPr>
          <w:b/>
          <w:bCs/>
        </w:rPr>
        <w:t xml:space="preserve">¿Qué significa el principio de equivalencia funcional de la Ley 527 de 1999 y qué tres equivalentes reconoce expresamente?</w:t>
      </w:r>
    </w:p>
    <w:p>
      <w:pPr>
        <w:spacing w:after="120"/>
        <w:ind w:left="720"/>
      </w:pPr>
      <w:r>
        <w:rPr>
          <w:color w:val="333333"/>
          <w:sz w:val="20"/>
          <w:szCs w:val="20"/>
        </w:rPr>
        <w:t xml:space="preserve">No se niegan efectos jurídicos a la información por estar en forma de mensaje de datos (art. 5). El mensaje de datos satisface la exigencia de «escrito» cuando la información es accesible para su posterior consulta (art. 6), la de «firma» cuando se usa un método confiable y apropiado para identificar al iniciador y aprobar el contenido (art. 7) y la de «original» cuando existe garantía confiable de integridad (art. 8). Los mensajes de datos son admisibles y tienen fuerza probatoria (arts. 10 y 11) y los contratos pueden formarse mediante ellos (art. 14). </w:t>
      </w:r>
      <w:r>
        <w:rPr>
          <w:i/>
          <w:iCs/>
          <w:color w:val="333333"/>
          <w:sz w:val="20"/>
          <w:szCs w:val="20"/>
        </w:rPr>
        <w:t xml:space="preserve">(Externado)</w:t>
      </w:r>
    </w:p>
    <w:p>
      <w:pPr>
        <w:pStyle w:val="ListParagraph"/>
        <w:numPr>
          <w:ilvl w:val="0"/>
          <w:numId w:val="9"/>
        </w:numPr>
      </w:pPr>
      <w:r>
        <w:rPr>
          <w:b/>
          <w:bCs/>
        </w:rPr>
        <w:t xml:space="preserve">¿Por qué la inmutabilidad del blockchain, que es una ventaja técnica, se convierte en un problema jurídico en un smart contract?</w:t>
      </w:r>
    </w:p>
    <w:p>
      <w:pPr>
        <w:spacing w:after="120"/>
        <w:ind w:left="720"/>
      </w:pPr>
      <w:r>
        <w:rPr>
          <w:color w:val="333333"/>
          <w:sz w:val="20"/>
          <w:szCs w:val="20"/>
        </w:rPr>
        <w:t xml:space="preserve">Padilla Sánchez explica que el smart contract automatiza la ejecución en código, sin intermediarios y de forma inmutable; un error de programación o una condición mal definida produce efectos irreversibles que el sistema no puede corregir. Los remedios del derecho de obligaciones presuponen reversibilidad y una instancia que la ordene, así que deben preverse fuera de la cadena o se resolverán en un litigio posterior. </w:t>
      </w:r>
      <w:r>
        <w:rPr>
          <w:i/>
          <w:iCs/>
          <w:color w:val="333333"/>
          <w:sz w:val="20"/>
          <w:szCs w:val="20"/>
        </w:rPr>
        <w:t xml:space="preserve">(Externado)</w:t>
      </w:r>
    </w:p>
    <w:p>
      <w:pPr>
        <w:pStyle w:val="ListParagraph"/>
        <w:numPr>
          <w:ilvl w:val="0"/>
          <w:numId w:val="9"/>
        </w:numPr>
      </w:pPr>
      <w:r>
        <w:rPr>
          <w:b/>
          <w:bCs/>
        </w:rPr>
        <w:t xml:space="preserve">¿Cuál es la diferencia entre transferencia y transmisión internacional de datos personales y por qué importa al contratar un proveedor en la nube?</w:t>
      </w:r>
    </w:p>
    <w:p>
      <w:pPr>
        <w:spacing w:after="120"/>
        <w:ind w:left="720"/>
      </w:pPr>
      <w:r>
        <w:rPr>
          <w:color w:val="333333"/>
          <w:sz w:val="20"/>
          <w:szCs w:val="20"/>
        </w:rPr>
        <w:t xml:space="preserve">Transferencia: el responsable envía datos a otro responsable en el exterior, que los trata para sus propios fines (art. 26 de la Ley 1581: país con nivel adecuado o excepción). Transmisión: el responsable comunica datos a un encargado que los trata por cuenta del responsable; el Decreto 1377 de 2013 exige un contrato de transmisión. Un proveedor cloud normalmente es encargado, así que se necesita un contrato de transmisión robusto y evidencias de responsabilidad demostrada, como explica Remolina. </w:t>
      </w:r>
      <w:r>
        <w:rPr>
          <w:i/>
          <w:iCs/>
          <w:color w:val="333333"/>
          <w:sz w:val="20"/>
          <w:szCs w:val="20"/>
        </w:rPr>
        <w:t xml:space="preserve">(Uniandes)</w:t>
      </w:r>
    </w:p>
    <w:p>
      <w:pPr>
        <w:pStyle w:val="ListParagraph"/>
        <w:numPr>
          <w:ilvl w:val="0"/>
          <w:numId w:val="9"/>
        </w:numPr>
      </w:pPr>
      <w:r>
        <w:rPr>
          <w:b/>
          <w:bCs/>
        </w:rPr>
        <w:t xml:space="preserve">¿Cuáles son los ocho temas de consenso de </w:t>
      </w:r>
      <w:r>
        <w:rPr>
          <w:b/>
          <w:bCs/>
          <w:i/>
          <w:iCs/>
        </w:rPr>
        <w:t xml:space="preserve">Principled AI</w:t>
      </w:r>
      <w:r>
        <w:rPr>
          <w:b/>
          <w:bCs/>
        </w:rPr>
        <w:t xml:space="preserve"> y cuáles trasladaría a un contrato con un proveedor de IA?</w:t>
      </w:r>
    </w:p>
    <w:p>
      <w:pPr>
        <w:spacing w:after="120"/>
        <w:ind w:left="720"/>
      </w:pPr>
      <w:r>
        <w:rPr>
          <w:color w:val="333333"/>
          <w:sz w:val="20"/>
          <w:szCs w:val="20"/>
        </w:rPr>
        <w:t xml:space="preserve">Privacidad, rendición de cuentas, seguridad y protección, transparencia y explicabilidad, equidad y no discriminación, control humano, responsabilidad profesional y promoción de valores humanos (36 documentos comparados). Al contrato pasan al menos cinco en forma verificable: transparencia (registro de salidas), control humano (revisión previa), seguridad (cifrado e incidentes), rendición de cuentas (auditoría y responsabilidad por daños) y no discriminación (pruebas de sesgo). </w:t>
      </w:r>
      <w:r>
        <w:rPr>
          <w:i/>
          <w:iCs/>
          <w:color w:val="333333"/>
          <w:sz w:val="20"/>
          <w:szCs w:val="20"/>
        </w:rPr>
        <w:t xml:space="preserve">(Harvard)</w:t>
      </w:r>
    </w:p>
    <w:p>
      <w:pPr>
        <w:pStyle w:val="ListParagraph"/>
        <w:numPr>
          <w:ilvl w:val="0"/>
          <w:numId w:val="9"/>
        </w:numPr>
      </w:pPr>
      <w:r>
        <w:rPr>
          <w:b/>
          <w:bCs/>
        </w:rPr>
        <w:t xml:space="preserve">Enumere las cuatro modalidades de regulación de Lessig y dé un ejemplo colombiano de cada una.</w:t>
      </w:r>
    </w:p>
    <w:p>
      <w:pPr>
        <w:spacing w:after="120"/>
        <w:ind w:left="720"/>
      </w:pPr>
      <w:r>
        <w:rPr>
          <w:color w:val="333333"/>
          <w:sz w:val="20"/>
          <w:szCs w:val="20"/>
        </w:rPr>
        <w:t xml:space="preserve">Ley (Ley 1581 de 2012), normas sociales (la práctica de no reenviar capturas de chats privados), mercado (el precio de un servicio de nube con servidores en Colombia) y arquitectura o código (el cifrado de extremo a extremo de una aplicación de mensajería). </w:t>
      </w:r>
      <w:r>
        <w:rPr>
          <w:i/>
          <w:iCs/>
          <w:color w:val="333333"/>
          <w:sz w:val="20"/>
          <w:szCs w:val="20"/>
        </w:rPr>
        <w:t xml:space="preserve">(Harvard)</w:t>
      </w:r>
    </w:p>
    <w:p>
      <w:pPr>
        <w:pStyle w:val="Heading2"/>
      </w:pPr>
      <w:r>
        <w:t xml:space="preserve">Debate</w:t>
      </w:r>
    </w:p>
    <w:p>
      <w:pPr>
        <w:pStyle w:val="ListParagraph"/>
        <w:numPr>
          <w:ilvl w:val="0"/>
          <w:numId w:val="10"/>
        </w:numPr>
      </w:pPr>
      <w:r>
        <w:rPr>
          <w:b/>
          <w:bCs/>
        </w:rPr>
        <w:t xml:space="preserve">¿Debe el abogado revelar al juez y a la contraparte que usó IA generativa para redactar un escrito judicial?</w:t>
      </w:r>
    </w:p>
    <w:p>
      <w:pPr>
        <w:spacing w:after="120"/>
        <w:ind w:left="720"/>
      </w:pPr>
      <w:r>
        <w:rPr>
          <w:color w:val="333333"/>
          <w:sz w:val="20"/>
          <w:szCs w:val="20"/>
        </w:rPr>
        <w:t xml:space="preserve">A favor: la T-323 exige transparencia al juez y la lealtad procesal justifica el mismo estándar para las partes; las providencias reseñadas por el Externado muestran que las citas inexistentes ya tienen consecuencias. En contra: la IA es una herramienta como el procesador de texto; lo relevante es la verificación y la responsabilidad del firmante. Posición modelo: revelar cuando la IA aporte contenido sustantivo o cuando el juez o el reglamento lo exijan, y en todo caso verificar y documentar. </w:t>
      </w:r>
      <w:r>
        <w:rPr>
          <w:i/>
          <w:iCs/>
          <w:color w:val="333333"/>
          <w:sz w:val="20"/>
          <w:szCs w:val="20"/>
        </w:rPr>
        <w:t xml:space="preserve">(Externado)</w:t>
      </w:r>
    </w:p>
    <w:p>
      <w:pPr>
        <w:pStyle w:val="ListParagraph"/>
        <w:numPr>
          <w:ilvl w:val="0"/>
          <w:numId w:val="10"/>
        </w:numPr>
      </w:pPr>
      <w:r>
        <w:rPr>
          <w:b/>
          <w:bCs/>
        </w:rPr>
        <w:t xml:space="preserve">Un cliente le pide «clonar la voz» del CEO para mensajes automáticos a sus clientes. ¿Qué riesgos identifica y qué salvaguardas exigiría?</w:t>
      </w:r>
    </w:p>
    <w:p>
      <w:pPr>
        <w:spacing w:after="120"/>
        <w:ind w:left="720"/>
      </w:pPr>
      <w:r>
        <w:rPr>
          <w:color w:val="333333"/>
          <w:sz w:val="20"/>
          <w:szCs w:val="20"/>
        </w:rPr>
        <w:t xml:space="preserve">El caso Modulate plantea suplantación, deepfakes de voz y consentimiento. En Colombia la voz identifica a la persona y puede ser dato biométrico sensible (art. 5 de la Ley 1581): autorización expresa e informada del CEO con finalidad, límites y revocabilidad; riesgo de engaño a destinatarios y de uso fraudulento (Ley 1273 de 2009); riesgo de que el proveedor retenga o reutilice el modelo de voz. Salvaguardas: consentimiento escrito y específico, aviso de voz sintética a los destinatarios, marca de agua o registro de cada uso, prohibición de reutilización y entrenamiento, eliminación del modelo al terminar y protocolo ante suplantación. </w:t>
      </w:r>
      <w:r>
        <w:rPr>
          <w:i/>
          <w:iCs/>
          <w:color w:val="333333"/>
          <w:sz w:val="20"/>
          <w:szCs w:val="20"/>
        </w:rPr>
        <w:t xml:space="preserve">(Harvard)</w:t>
      </w:r>
    </w:p>
    <w:p>
      <w:pPr>
        <w:pStyle w:val="ListParagraph"/>
        <w:numPr>
          <w:ilvl w:val="0"/>
          <w:numId w:val="10"/>
        </w:numPr>
      </w:pPr>
      <w:r>
        <w:rPr>
          <w:b/>
          <w:bCs/>
        </w:rPr>
        <w:t xml:space="preserve">¿Es la «deuda intelectual» de Zittrain un argumento para prohibir las decisiones automatizadas sobre personas o para exigir explicabilidad?</w:t>
      </w:r>
    </w:p>
    <w:p>
      <w:pPr>
        <w:spacing w:after="120"/>
        <w:ind w:left="720"/>
      </w:pPr>
      <w:r>
        <w:rPr>
          <w:color w:val="333333"/>
          <w:sz w:val="20"/>
          <w:szCs w:val="20"/>
        </w:rPr>
        <w:t xml:space="preserve">Zittrain describe sistemas que dan respuestas que funcionan sin que entendamos por qué y advierte del riesgo acumulado de depender de ellos. Posición modelo: no para prohibir, sino para exigir explicabilidad proporcional al impacto, control humano y posibilidad de impugnar; coincide con el principio de explicabilidad que Remolina conecta con los datos personales y con la Circular 002 de 2024. </w:t>
      </w:r>
      <w:r>
        <w:rPr>
          <w:i/>
          <w:iCs/>
          <w:color w:val="333333"/>
          <w:sz w:val="20"/>
          <w:szCs w:val="20"/>
        </w:rPr>
        <w:t xml:space="preserve">(Harvard y Uniandes)</w:t>
      </w:r>
    </w:p>
    <w:p>
      <w:pPr>
        <w:pStyle w:val="ListParagraph"/>
        <w:numPr>
          <w:ilvl w:val="0"/>
          <w:numId w:val="10"/>
        </w:numPr>
      </w:pPr>
      <w:r>
        <w:rPr>
          <w:b/>
          <w:bCs/>
        </w:rPr>
        <w:t xml:space="preserve">Kleinberg, Ludwig, Mullainathan y Sunstein sostienen que los algoritmos, bien regulados, pueden hacer la discriminación más detectable que la decisión humana. ¿Están de acuerdo? ¿Cómo se probaría en una tutela?</w:t>
      </w:r>
    </w:p>
    <w:p>
      <w:pPr>
        <w:spacing w:after="120"/>
        <w:ind w:left="720"/>
      </w:pPr>
      <w:r>
        <w:rPr>
          <w:color w:val="333333"/>
          <w:sz w:val="20"/>
          <w:szCs w:val="20"/>
        </w:rPr>
        <w:t xml:space="preserve">A favor: el algoritmo deja registro de variables y resultados y permite pruebas estadísticas que la decisión humana no admite. En contra: el secreto comercial y la opacidad técnica pueden impedir el acceso a ese registro. Para la tutela: pedir como prueba el registro de variables, las tasas de resultado por grupo y la documentación del proveedor; invertir la carga con el artículo 13 de la Constitución cuando el impacto desproporcionado sea evidente. </w:t>
      </w:r>
      <w:r>
        <w:rPr>
          <w:i/>
          <w:iCs/>
          <w:color w:val="333333"/>
          <w:sz w:val="20"/>
          <w:szCs w:val="20"/>
        </w:rPr>
        <w:t xml:space="preserve">(Harvard)</w:t>
      </w:r>
    </w:p>
    <w:p>
      <w:pPr>
        <w:pStyle w:val="Heading2"/>
      </w:pPr>
      <w:r>
        <w:t xml:space="preserve">Aplicación</w:t>
      </w:r>
    </w:p>
    <w:p>
      <w:pPr>
        <w:pStyle w:val="ListParagraph"/>
        <w:numPr>
          <w:ilvl w:val="0"/>
          <w:numId w:val="11"/>
        </w:numPr>
      </w:pPr>
      <w:r>
        <w:rPr>
          <w:b/>
          <w:bCs/>
        </w:rPr>
        <w:t xml:space="preserve">Su cliente recibió una oferta por WhatsApp, respondió «listo, de acuerdo» y ahora el proveedor niega el contrato. ¿Qué haría el lunes para asegurar la prueba?</w:t>
      </w:r>
    </w:p>
    <w:p>
      <w:pPr>
        <w:spacing w:after="120"/>
        <w:ind w:left="720"/>
      </w:pPr>
      <w:r>
        <w:rPr>
          <w:color w:val="333333"/>
          <w:sz w:val="20"/>
          <w:szCs w:val="20"/>
        </w:rPr>
        <w:t xml:space="preserve">Conservar el dispositivo y no borrar nada; exportar la conversación completa con metadatos y adjuntos; calcular el hash; documentar la extracción con acta, certificación notarial o informe pericial según la cuantía; aportar el mensaje de datos en el formato original (art. 247 CGP); identificar al iniciador y pedir exhibición. En el fondo, formación del contrato por mensajes de datos (art. 14 de la Ley 527) y firma por método confiable y apropiado (art. 7). </w:t>
      </w:r>
      <w:r>
        <w:rPr>
          <w:i/>
          <w:iCs/>
          <w:color w:val="333333"/>
          <w:sz w:val="20"/>
          <w:szCs w:val="20"/>
        </w:rPr>
        <w:t xml:space="preserve">(Externado)</w:t>
      </w:r>
    </w:p>
    <w:p>
      <w:pPr>
        <w:pStyle w:val="ListParagraph"/>
        <w:numPr>
          <w:ilvl w:val="0"/>
          <w:numId w:val="11"/>
        </w:numPr>
      </w:pPr>
      <w:r>
        <w:rPr>
          <w:b/>
          <w:bCs/>
        </w:rPr>
        <w:t xml:space="preserve">Una empresa de comercio electrónico quiere usar reconocimiento facial para verificar la identidad de los compradores. ¿Qué exigiría antes de dar el visto bueno?</w:t>
      </w:r>
    </w:p>
    <w:p>
      <w:pPr>
        <w:spacing w:after="120"/>
        <w:ind w:left="720"/>
      </w:pPr>
      <w:r>
        <w:rPr>
          <w:color w:val="333333"/>
          <w:sz w:val="20"/>
          <w:szCs w:val="20"/>
        </w:rPr>
        <w:t xml:space="preserve">Autorización previa, expresa e informada con la advertencia de que el titular no está obligado a darla y alternativa no biométrica (art. 6 de la Ley 1581); prueba de necesidad y proporcionalidad, como en el caso Mercado Libre; evaluación de impacto y seguridad reforzada; conservación mínima y eliminación de plantillas biométricas; pruebas de tasa de error y de sesgo; información clara sobre el tratamiento con IA conforme a la Circular 002 de 2024. Sin alternativa voluntaria y sin prueba de necesidad, el semáforo es «no». </w:t>
      </w:r>
      <w:r>
        <w:rPr>
          <w:i/>
          <w:iCs/>
          <w:color w:val="333333"/>
          <w:sz w:val="20"/>
          <w:szCs w:val="20"/>
        </w:rPr>
        <w:t xml:space="preserve">(Externado)</w:t>
      </w:r>
    </w:p>
    <w:p>
      <w:pPr>
        <w:pStyle w:val="ListParagraph"/>
        <w:numPr>
          <w:ilvl w:val="0"/>
          <w:numId w:val="11"/>
        </w:numPr>
      </w:pPr>
      <w:r>
        <w:rPr>
          <w:b/>
          <w:bCs/>
        </w:rPr>
        <w:t xml:space="preserve">Un proveedor de IA en Estados Unidos ofrece «anonimizar» los datos antes de procesarlos. ¿Basta frente a la Ley 1581 y frente al CLOUD Act?</w:t>
      </w:r>
    </w:p>
    <w:p>
      <w:pPr>
        <w:spacing w:after="120"/>
        <w:ind w:left="720"/>
      </w:pPr>
      <w:r>
        <w:rPr>
          <w:color w:val="333333"/>
          <w:sz w:val="20"/>
          <w:szCs w:val="20"/>
        </w:rPr>
        <w:t xml:space="preserve">No. Si los datos pueden reidentificarse siguen siendo personales y se requiere contrato de transmisión y evidencias de responsabilidad demostrada. El caso de Harvard muestra que el CLOUD Act permite a autoridades de EE. UU. exigir a un proveedor sujeto a su jurisdicción datos bajo su control aunque estén almacenados fuera; por eso se exigen cifrado con llaves en poder del cliente, ubicación y segregación de datos, notificación de requerimientos, prohibición de entrenamiento y plan de salida. El riesgo residual se informa por escrito al cliente. </w:t>
      </w:r>
      <w:r>
        <w:rPr>
          <w:i/>
          <w:iCs/>
          <w:color w:val="333333"/>
          <w:sz w:val="20"/>
          <w:szCs w:val="20"/>
        </w:rPr>
        <w:t xml:space="preserve">(Harvard y Uniandes)</w:t>
      </w:r>
    </w:p>
    <w:p>
      <w:pPr>
        <w:pStyle w:val="ListParagraph"/>
        <w:numPr>
          <w:ilvl w:val="0"/>
          <w:numId w:val="11"/>
        </w:numPr>
      </w:pPr>
      <w:r>
        <w:rPr>
          <w:b/>
          <w:bCs/>
        </w:rPr>
        <w:t xml:space="preserve">Un asociado entrega un memorando redactado con IA con cinco sentencias citadas. Diseñe en tres pasos la verificación mínima antes de radicarlo.</w:t>
      </w:r>
    </w:p>
    <w:p>
      <w:pPr>
        <w:spacing w:after="120"/>
        <w:ind w:left="720"/>
      </w:pPr>
      <w:r>
        <w:rPr>
          <w:color w:val="333333"/>
          <w:sz w:val="20"/>
          <w:szCs w:val="20"/>
        </w:rPr>
        <w:t xml:space="preserve">(1) Localizar cada providencia en la relatoría oficial y confirmar número, fecha, sala y ponente; si no aparece, se elimina. (2) Leer el aparte en su contexto y confirmar que dice lo que se afirma y que sigue vigente. (3) Dejar registro de la verificación (quién, cuándo, herramienta, correcciones) y firma del responsable. </w:t>
      </w:r>
      <w:r>
        <w:rPr>
          <w:i/>
          <w:iCs/>
          <w:color w:val="333333"/>
          <w:sz w:val="20"/>
          <w:szCs w:val="20"/>
        </w:rPr>
        <w:t xml:space="preserve">(Externado)</w:t>
      </w:r>
    </w:p>
    <w:p>
      <w:pPr>
        <w:pStyle w:val="Heading2"/>
      </w:pPr>
      <w:r>
        <w:t xml:space="preserve">Evaluación (las tres del cierre)</w:t>
      </w:r>
    </w:p>
    <w:p>
      <w:pPr>
        <w:pStyle w:val="ListParagraph"/>
        <w:numPr>
          <w:ilvl w:val="0"/>
          <w:numId w:val="12"/>
        </w:numPr>
      </w:pPr>
      <w:r>
        <w:rPr>
          <w:b/>
          <w:bCs/>
        </w:rPr>
        <w:t xml:space="preserve">Verdadero o falso: la simple impresión en papel de un correo electrónico se valora en el proceso como mensaje de datos.</w:t>
      </w:r>
    </w:p>
    <w:p>
      <w:pPr>
        <w:spacing w:after="120"/>
        <w:ind w:left="720"/>
      </w:pPr>
      <w:r>
        <w:rPr>
          <w:color w:val="333333"/>
          <w:sz w:val="20"/>
          <w:szCs w:val="20"/>
        </w:rPr>
        <w:t xml:space="preserve">Falso. Conforme al artículo 247 del CGP se valoran como mensajes de datos los documentos aportados en el formato en que fueron generados, enviados o recibidos, o en otro que los reproduzca con exactitud; la simple impresión se valora según las reglas generales de los documentos. </w:t>
      </w:r>
      <w:r>
        <w:rPr>
          <w:i/>
          <w:iCs/>
          <w:color w:val="333333"/>
          <w:sz w:val="20"/>
          <w:szCs w:val="20"/>
        </w:rPr>
        <w:t xml:space="preserve">(Externado)</w:t>
      </w:r>
    </w:p>
    <w:p>
      <w:pPr>
        <w:pStyle w:val="ListParagraph"/>
        <w:numPr>
          <w:ilvl w:val="0"/>
          <w:numId w:val="12"/>
        </w:numPr>
      </w:pPr>
      <w:r>
        <w:rPr>
          <w:b/>
          <w:bCs/>
        </w:rPr>
        <w:t xml:space="preserve">Enumere tres condiciones que la Corte Constitucional fijó en la Sentencia T-323 de 2024 para el uso de herramientas de IA por los jueces.</w:t>
      </w:r>
    </w:p>
    <w:p>
      <w:pPr>
        <w:spacing w:after="120"/>
        <w:ind w:left="720"/>
      </w:pPr>
      <w:r>
        <w:rPr>
          <w:color w:val="333333"/>
          <w:sz w:val="20"/>
          <w:szCs w:val="20"/>
        </w:rPr>
        <w:t xml:space="preserve">Cualquier tres de: transparencia, responsabilidad (el juez verifica y responde), privacidad (no ingresar datos personales del proceso), no sustitución del razonamiento humano, control y supervisión humana de las salidas, capacitación e idoneidad de quien la usa. La Corte además ordenó lineamientos institucionales para la Rama Judicial. </w:t>
      </w:r>
      <w:r>
        <w:rPr>
          <w:i/>
          <w:iCs/>
          <w:color w:val="333333"/>
          <w:sz w:val="20"/>
          <w:szCs w:val="20"/>
        </w:rPr>
        <w:t xml:space="preserve">(Externado)</w:t>
      </w:r>
    </w:p>
    <w:p>
      <w:pPr>
        <w:pStyle w:val="ListParagraph"/>
        <w:numPr>
          <w:ilvl w:val="0"/>
          <w:numId w:val="12"/>
        </w:numPr>
      </w:pPr>
      <w:r>
        <w:rPr>
          <w:b/>
          <w:bCs/>
        </w:rPr>
        <w:t xml:space="preserve">Una empresa colombiana envía datos de sus empleados a la casa matriz en un país sin nivel adecuado de protección, sin autorización de los titulares. ¿Qué excepción del artículo 26 de la Ley 1581 podría invocar y qué debe poder demostrar?</w:t>
      </w:r>
    </w:p>
    <w:p>
      <w:pPr>
        <w:spacing w:after="120"/>
        <w:ind w:left="720"/>
      </w:pPr>
      <w:r>
        <w:rPr>
          <w:color w:val="333333"/>
          <w:sz w:val="20"/>
          <w:szCs w:val="20"/>
        </w:rPr>
        <w:t xml:space="preserve">La transferencia necesaria para la ejecución de un contrato entre el titular y el responsable (la relación laboral, por ejemplo nómina administrada por la matriz) o, si la obtiene, la autorización expresa e inequívoca. En todo caso, bajo la responsabilidad demostrada del Decreto 1377 de 2013 debe evidenciar, como recomienda la Guía GECTI: finalidad y necesidad, instrumento que vincula a la matriz, evaluación de riesgos, medidas de seguridad y registro de evidencias. </w:t>
      </w:r>
      <w:r>
        <w:rPr>
          <w:i/>
          <w:iCs/>
          <w:color w:val="333333"/>
          <w:sz w:val="20"/>
          <w:szCs w:val="20"/>
        </w:rPr>
        <w:t xml:space="preserve">(Uniandes)</w:t>
      </w:r>
    </w:p>
    <w:p>
      <w:pPr>
        <w:pStyle w:val="Heading1"/>
      </w:pPr>
      <w:r>
        <w:t xml:space="preserve">9. Logística, materiales y riesgos</w:t>
      </w:r>
    </w:p>
    <w:p>
      <w:pPr>
        <w:spacing w:after="120"/>
      </w:pPr>
      <w:r>
        <w:rPr>
          <w:b/>
          <w:bCs/>
        </w:rPr>
        <w:t xml:space="preserve">Lista de chequeo (dos semanas antes).</w:t>
      </w:r>
    </w:p>
    <w:p>
      <w:pPr>
        <w:pStyle w:val="ListParagraph"/>
        <w:numPr>
          <w:ilvl w:val="0"/>
          <w:numId w:val="13"/>
        </w:numPr>
      </w:pPr>
      <w:r>
        <w:t xml:space="preserve">Abrir cada URL de </w:t>
      </w:r>
      <w:r>
        <w:rPr>
          <w:rFonts w:ascii="Consolas" w:cs="Consolas" w:eastAsia="Consolas" w:hAnsi="Consolas"/>
          <w:sz w:val="18"/>
          <w:szCs w:val="18"/>
        </w:rPr>
        <w:t xml:space="preserve">FUENTES.md</w:t>
      </w:r>
      <w:r>
        <w:t xml:space="preserve">, confirmar título, autor, año y canal institucional; descargar los PDF y los cuatro fragmentos de video con marcas de tiempo (los videos no tienen duración confirmada en este documento: medirla al descargar).</w:t>
      </w:r>
    </w:p>
    <w:p>
      <w:pPr>
        <w:pStyle w:val="ListParagraph"/>
        <w:numPr>
          <w:ilvl w:val="0"/>
          <w:numId w:val="13"/>
        </w:numPr>
      </w:pPr>
      <w:r>
        <w:t xml:space="preserve">Preparar: memorial ficticio y clave (7.1); plantilla del Taller 1 y las dos cláusulas modelo (7.2); plantilla de matriz semáforo y extractos traducidos de CLOUD Act y </w:t>
      </w:r>
      <w:r>
        <w:rPr>
          <w:i/>
          <w:iCs/>
        </w:rPr>
        <w:t xml:space="preserve">Principled AI</w:t>
      </w:r>
      <w:r>
        <w:t xml:space="preserve"> (7.3); diapositiva de las cinco reglas; chuleta Ley 527 / art. 247 CGP; formulario QR para sondeo y evaluación relámpago.</w:t>
      </w:r>
    </w:p>
    <w:p>
      <w:pPr>
        <w:pStyle w:val="ListParagraph"/>
        <w:numPr>
          <w:ilvl w:val="0"/>
          <w:numId w:val="13"/>
        </w:numPr>
      </w:pPr>
      <w:r>
        <w:t xml:space="preserve">Leer en fuente primaria la Sentencia T-323 de 2024, la STC17832-2025, el AC739-2026 y la Circular Externa 002 de 2024; lo que no se confirme se presenta como «según la reseña del Externado» o se retira.</w:t>
      </w:r>
    </w:p>
    <w:p>
      <w:pPr>
        <w:pStyle w:val="ListParagraph"/>
        <w:numPr>
          <w:ilvl w:val="0"/>
          <w:numId w:val="13"/>
        </w:numPr>
      </w:pPr>
      <w:r>
        <w:t xml:space="preserve">Videos descargados en el computador y en una memoria USB; presentación en PDF de respaldo; extractos y plantillas impresos.</w:t>
      </w:r>
    </w:p>
    <w:p>
      <w:pPr>
        <w:spacing w:after="120"/>
      </w:pPr>
      <w:r>
        <w:rPr>
          <w:b/>
          <w:bCs/>
        </w:rPr>
        <w:t xml:space="preserve">Riesgos y mitigaciones.</w:t>
      </w:r>
    </w:p>
    <w:p>
      <w:pPr>
        <w:pStyle w:val="ListParagraph"/>
        <w:numPr>
          <w:ilvl w:val="0"/>
          <w:numId w:val="13"/>
        </w:numPr>
      </w:pPr>
      <w:r>
        <w:t xml:space="preserve">Asistentes sin lectura previa: el ejercicio y los talleres son autosuficientes gracias a las chuletas y plantillas; recordatorio de 60 segundos en la apertura.</w:t>
      </w:r>
    </w:p>
    <w:p>
      <w:pPr>
        <w:pStyle w:val="ListParagraph"/>
        <w:numPr>
          <w:ilvl w:val="0"/>
          <w:numId w:val="13"/>
        </w:numPr>
      </w:pPr>
      <w:r>
        <w:t xml:space="preserve">Desborde de tiempo: cronometrador por grupo, cronómetro visible, plenarias de máximo dos grupos; los bloques 4 y 12 son elásticos.</w:t>
      </w:r>
    </w:p>
    <w:p>
      <w:pPr>
        <w:pStyle w:val="ListParagraph"/>
        <w:numPr>
          <w:ilvl w:val="0"/>
          <w:numId w:val="13"/>
        </w:numPr>
      </w:pPr>
      <w:r>
        <w:t xml:space="preserve">Materiales en inglés: subtítulos en español, extractos traducidos, plan B en español para cada video de Harvard.</w:t>
      </w:r>
    </w:p>
    <w:p>
      <w:pPr>
        <w:pStyle w:val="ListParagraph"/>
        <w:numPr>
          <w:ilvl w:val="0"/>
          <w:numId w:val="13"/>
        </w:numPr>
      </w:pPr>
      <w:r>
        <w:t xml:space="preserve">Confidencialidad: casos ficticios, ejercicio en papel sin dispositivos, regla anunciada en la apertura.</w:t>
      </w:r>
    </w:p>
    <w:p>
      <w:pPr>
        <w:pStyle w:val="ListParagraph"/>
        <w:numPr>
          <w:ilvl w:val="0"/>
          <w:numId w:val="13"/>
        </w:numPr>
      </w:pPr>
      <w:r>
        <w:t xml:space="preserve">Grupos pasivos o heterogéneos: grupos preasignados, roles rotativos, plantillas con casillas que obligan a producir un resultado.</w:t>
      </w:r>
    </w:p>
    <w:p>
      <w:pPr>
        <w:pStyle w:val="ListParagraph"/>
        <w:numPr>
          <w:ilvl w:val="0"/>
          <w:numId w:val="13"/>
        </w:numPr>
      </w:pPr>
      <w:r>
        <w:t xml:space="preserve">Atribución institucional de fuentes alojadas en plataformas de terceros (YouTube, edX, SSRN): en las diapositivas se cita la institución solo cuando el canal oficial o la página institucional lo confirma; en caso de duda se cita al ponente.</w:t>
      </w:r>
    </w:p>
    <w:p>
      <w:pPr>
        <w:pStyle w:val="Heading1"/>
      </w:pPr>
      <w:r>
        <w:t xml:space="preserve">10. Rutas de profundización (para el cierre)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2"/>
        <w:gridCol w:w="7109"/>
        <w:gridCol w:w="1797"/>
      </w:tblGrid>
      <w:tr>
        <w:trPr>
          <w:tblHeader/>
        </w:trPr>
        <w:tc>
          <w:tcPr>
            <w:tcW w:type="dxa" w:w="732"/>
            <w:shd w:fill="E8EEF7" w:color="auto" w:val="clear"/>
            <w:tcMar>
              <w:top w:type="dxa" w:w="60"/>
              <w:left w:type="dxa" w:w="80"/>
              <w:bottom w:type="dxa" w:w="60"/>
              <w:right w:type="dxa" w:w="80"/>
            </w:tcMar>
          </w:tcPr>
          <w:p>
            <w:r>
              <w:rPr>
                <w:b/>
                <w:bCs/>
                <w:sz w:val="18"/>
                <w:szCs w:val="18"/>
              </w:rPr>
              <w:t xml:space="preserve">Institución</w:t>
            </w:r>
          </w:p>
        </w:tc>
        <w:tc>
          <w:tcPr>
            <w:tcW w:type="dxa" w:w="7109"/>
            <w:shd w:fill="E8EEF7" w:color="auto" w:val="clear"/>
            <w:tcMar>
              <w:top w:type="dxa" w:w="60"/>
              <w:left w:type="dxa" w:w="80"/>
              <w:bottom w:type="dxa" w:w="60"/>
              <w:right w:type="dxa" w:w="80"/>
            </w:tcMar>
          </w:tcPr>
          <w:p>
            <w:r>
              <w:rPr>
                <w:b/>
                <w:bCs/>
                <w:sz w:val="18"/>
                <w:szCs w:val="18"/>
              </w:rPr>
              <w:t xml:space="preserve">Recurso</w:t>
            </w:r>
          </w:p>
        </w:tc>
        <w:tc>
          <w:tcPr>
            <w:tcW w:type="dxa" w:w="1797"/>
            <w:shd w:fill="E8EEF7" w:color="auto" w:val="clear"/>
            <w:tcMar>
              <w:top w:type="dxa" w:w="60"/>
              <w:left w:type="dxa" w:w="80"/>
              <w:bottom w:type="dxa" w:w="60"/>
              <w:right w:type="dxa" w:w="80"/>
            </w:tcMar>
          </w:tcPr>
          <w:p>
            <w:r>
              <w:rPr>
                <w:b/>
                <w:bCs/>
                <w:sz w:val="18"/>
                <w:szCs w:val="18"/>
              </w:rPr>
              <w:t xml:space="preserve">Para quién</w:t>
            </w:r>
          </w:p>
        </w:tc>
      </w:tr>
      <w:tr>
        <w:trPr>
          <w:tblHeader w:val="off"/>
        </w:trPr>
        <w:tc>
          <w:tcPr>
            <w:tcW w:type="dxa" w:w="732"/>
            <w:tcMar>
              <w:top w:type="dxa" w:w="60"/>
              <w:left w:type="dxa" w:w="80"/>
              <w:bottom w:type="dxa" w:w="60"/>
              <w:right w:type="dxa" w:w="80"/>
            </w:tcMar>
          </w:tcPr>
          <w:p>
            <w:r>
              <w:rPr>
                <w:sz w:val="18"/>
                <w:szCs w:val="18"/>
              </w:rPr>
              <w:t xml:space="preserve">Uniandes</w:t>
            </w:r>
          </w:p>
        </w:tc>
        <w:tc>
          <w:tcPr>
            <w:tcW w:type="dxa" w:w="7109"/>
            <w:tcMar>
              <w:top w:type="dxa" w:w="60"/>
              <w:left w:type="dxa" w:w="80"/>
              <w:bottom w:type="dxa" w:w="60"/>
              <w:right w:type="dxa" w:w="80"/>
            </w:tcMar>
          </w:tcPr>
          <w:p>
            <w:r>
              <w:rPr>
                <w:sz w:val="18"/>
                <w:szCs w:val="18"/>
              </w:rPr>
              <w:t xml:space="preserve">Observatorio Ciro Angarita Barón sobre protección de datos personales (habeasdatacolombia.uniandes.edu.co): jurisprudencia de habeas data, Guía GECTI y notas sobre transferencias internacionales</w:t>
            </w:r>
          </w:p>
        </w:tc>
        <w:tc>
          <w:tcPr>
            <w:tcW w:type="dxa" w:w="1797"/>
            <w:tcMar>
              <w:top w:type="dxa" w:w="60"/>
              <w:left w:type="dxa" w:w="80"/>
              <w:bottom w:type="dxa" w:w="60"/>
              <w:right w:type="dxa" w:w="80"/>
            </w:tcMar>
          </w:tcPr>
          <w:p>
            <w:r>
              <w:rPr>
                <w:sz w:val="18"/>
                <w:szCs w:val="18"/>
              </w:rPr>
              <w:t xml:space="preserve">Quien asesora en datos personales</w:t>
            </w:r>
          </w:p>
        </w:tc>
      </w:tr>
      <w:tr>
        <w:trPr>
          <w:tblHeader w:val="off"/>
        </w:trPr>
        <w:tc>
          <w:tcPr>
            <w:tcW w:type="dxa" w:w="732"/>
            <w:tcMar>
              <w:top w:type="dxa" w:w="60"/>
              <w:left w:type="dxa" w:w="80"/>
              <w:bottom w:type="dxa" w:w="60"/>
              <w:right w:type="dxa" w:w="80"/>
            </w:tcMar>
          </w:tcPr>
          <w:p>
            <w:r>
              <w:rPr>
                <w:sz w:val="18"/>
                <w:szCs w:val="18"/>
              </w:rPr>
              <w:t xml:space="preserve">Uniandes</w:t>
            </w:r>
          </w:p>
        </w:tc>
        <w:tc>
          <w:tcPr>
            <w:tcW w:type="dxa" w:w="7109"/>
            <w:tcMar>
              <w:top w:type="dxa" w:w="60"/>
              <w:left w:type="dxa" w:w="80"/>
              <w:bottom w:type="dxa" w:w="60"/>
              <w:right w:type="dxa" w:w="80"/>
            </w:tcMar>
          </w:tcPr>
          <w:p>
            <w:r>
              <w:rPr>
                <w:sz w:val="18"/>
                <w:szCs w:val="18"/>
              </w:rPr>
              <w:t xml:space="preserve">Toolkit ético legal de inteligencia artificial (Facultad de Derecho y GECTI) y semillero Lab IA/Law</w:t>
            </w:r>
          </w:p>
        </w:tc>
        <w:tc>
          <w:tcPr>
            <w:tcW w:type="dxa" w:w="1797"/>
            <w:tcMar>
              <w:top w:type="dxa" w:w="60"/>
              <w:left w:type="dxa" w:w="80"/>
              <w:bottom w:type="dxa" w:w="60"/>
              <w:right w:type="dxa" w:w="80"/>
            </w:tcMar>
          </w:tcPr>
          <w:p>
            <w:r>
              <w:rPr>
                <w:sz w:val="18"/>
                <w:szCs w:val="18"/>
              </w:rPr>
              <w:t xml:space="preserve">Quien evalúa proyectos de IA de clientes</w:t>
            </w:r>
          </w:p>
        </w:tc>
      </w:tr>
      <w:tr>
        <w:trPr>
          <w:tblHeader w:val="off"/>
        </w:trPr>
        <w:tc>
          <w:tcPr>
            <w:tcW w:type="dxa" w:w="732"/>
            <w:tcMar>
              <w:top w:type="dxa" w:w="60"/>
              <w:left w:type="dxa" w:w="80"/>
              <w:bottom w:type="dxa" w:w="60"/>
              <w:right w:type="dxa" w:w="80"/>
            </w:tcMar>
          </w:tcPr>
          <w:p>
            <w:r>
              <w:rPr>
                <w:sz w:val="18"/>
                <w:szCs w:val="18"/>
              </w:rPr>
              <w:t xml:space="preserve">Uniandes</w:t>
            </w:r>
          </w:p>
        </w:tc>
        <w:tc>
          <w:tcPr>
            <w:tcW w:type="dxa" w:w="7109"/>
            <w:tcMar>
              <w:top w:type="dxa" w:w="60"/>
              <w:left w:type="dxa" w:w="80"/>
              <w:bottom w:type="dxa" w:w="60"/>
              <w:right w:type="dxa" w:w="80"/>
            </w:tcMar>
          </w:tcPr>
          <w:p>
            <w:r>
              <w:rPr>
                <w:sz w:val="18"/>
                <w:szCs w:val="18"/>
              </w:rPr>
              <w:t xml:space="preserve">Curso </w:t>
            </w:r>
            <w:r>
              <w:rPr>
                <w:i/>
                <w:iCs/>
                <w:sz w:val="18"/>
                <w:szCs w:val="18"/>
              </w:rPr>
              <w:t xml:space="preserve">Introducción a la inteligencia artificial contemporánea</w:t>
            </w:r>
            <w:r>
              <w:rPr>
                <w:sz w:val="18"/>
                <w:szCs w:val="18"/>
              </w:rPr>
              <w:t xml:space="preserve"> (Coursera, en español, nivel principiante)</w:t>
            </w:r>
          </w:p>
        </w:tc>
        <w:tc>
          <w:tcPr>
            <w:tcW w:type="dxa" w:w="1797"/>
            <w:tcMar>
              <w:top w:type="dxa" w:w="60"/>
              <w:left w:type="dxa" w:w="80"/>
              <w:bottom w:type="dxa" w:w="60"/>
              <w:right w:type="dxa" w:w="80"/>
            </w:tcMar>
          </w:tcPr>
          <w:p>
            <w:r>
              <w:rPr>
                <w:sz w:val="18"/>
                <w:szCs w:val="18"/>
              </w:rPr>
              <w:t xml:space="preserve">Alfabetización técnica en español</w:t>
            </w:r>
          </w:p>
        </w:tc>
      </w:tr>
      <w:tr>
        <w:trPr>
          <w:tblHeader w:val="off"/>
        </w:trPr>
        <w:tc>
          <w:tcPr>
            <w:tcW w:type="dxa" w:w="732"/>
            <w:tcMar>
              <w:top w:type="dxa" w:w="60"/>
              <w:left w:type="dxa" w:w="80"/>
              <w:bottom w:type="dxa" w:w="60"/>
              <w:right w:type="dxa" w:w="80"/>
            </w:tcMar>
          </w:tcPr>
          <w:p>
            <w:r>
              <w:rPr>
                <w:sz w:val="18"/>
                <w:szCs w:val="18"/>
              </w:rPr>
              <w:t xml:space="preserve">Uniandes</w:t>
            </w:r>
          </w:p>
        </w:tc>
        <w:tc>
          <w:tcPr>
            <w:tcW w:type="dxa" w:w="7109"/>
            <w:tcMar>
              <w:top w:type="dxa" w:w="60"/>
              <w:left w:type="dxa" w:w="80"/>
              <w:bottom w:type="dxa" w:w="60"/>
              <w:right w:type="dxa" w:w="80"/>
            </w:tcMar>
          </w:tcPr>
          <w:p>
            <w:r>
              <w:rPr>
                <w:sz w:val="18"/>
                <w:szCs w:val="18"/>
              </w:rPr>
              <w:t xml:space="preserve">Maestría en Derecho, Tecnología y Sociedad Digital (3 semestres, modalidad híbrida) y curso de Educación Continua </w:t>
            </w:r>
            <w:r>
              <w:rPr>
                <w:i/>
                <w:iCs/>
                <w:sz w:val="18"/>
                <w:szCs w:val="18"/>
              </w:rPr>
              <w:t xml:space="preserve">Protección de Datos y Accountability</w:t>
            </w:r>
            <w:r>
              <w:rPr>
                <w:sz w:val="18"/>
                <w:szCs w:val="18"/>
              </w:rPr>
              <w:t xml:space="preserve"> del GECTI (más de diez ediciones desde 2018)</w:t>
            </w:r>
          </w:p>
        </w:tc>
        <w:tc>
          <w:tcPr>
            <w:tcW w:type="dxa" w:w="1797"/>
            <w:tcMar>
              <w:top w:type="dxa" w:w="60"/>
              <w:left w:type="dxa" w:w="80"/>
              <w:bottom w:type="dxa" w:w="60"/>
              <w:right w:type="dxa" w:w="80"/>
            </w:tcMar>
          </w:tcPr>
          <w:p>
            <w:r>
              <w:rPr>
                <w:sz w:val="18"/>
                <w:szCs w:val="18"/>
              </w:rPr>
              <w:t xml:space="preserve">Formación formal en Colombia</w:t>
            </w:r>
          </w:p>
        </w:tc>
      </w:tr>
      <w:tr>
        <w:trPr>
          <w:tblHeader w:val="off"/>
        </w:trPr>
        <w:tc>
          <w:tcPr>
            <w:tcW w:type="dxa" w:w="732"/>
            <w:tcMar>
              <w:top w:type="dxa" w:w="60"/>
              <w:left w:type="dxa" w:w="80"/>
              <w:bottom w:type="dxa" w:w="60"/>
              <w:right w:type="dxa" w:w="80"/>
            </w:tcMar>
          </w:tcPr>
          <w:p>
            <w:r>
              <w:rPr>
                <w:sz w:val="18"/>
                <w:szCs w:val="18"/>
              </w:rPr>
              <w:t xml:space="preserve">Harvard</w:t>
            </w:r>
          </w:p>
        </w:tc>
        <w:tc>
          <w:tcPr>
            <w:tcW w:type="dxa" w:w="7109"/>
            <w:tcMar>
              <w:top w:type="dxa" w:w="60"/>
              <w:left w:type="dxa" w:w="80"/>
              <w:bottom w:type="dxa" w:w="60"/>
              <w:right w:type="dxa" w:w="80"/>
            </w:tcMar>
          </w:tcPr>
          <w:p>
            <w:r>
              <w:rPr>
                <w:i/>
                <w:iCs/>
                <w:sz w:val="18"/>
                <w:szCs w:val="18"/>
              </w:rPr>
              <w:t xml:space="preserve">CS50's Computer Science for Lawyers</w:t>
            </w:r>
            <w:r>
              <w:rPr>
                <w:sz w:val="18"/>
                <w:szCs w:val="18"/>
              </w:rPr>
              <w:t xml:space="preserve"> (HarvardX en edX, gratuito en modalidad de auditoría)</w:t>
            </w:r>
          </w:p>
        </w:tc>
        <w:tc>
          <w:tcPr>
            <w:tcW w:type="dxa" w:w="1797"/>
            <w:tcMar>
              <w:top w:type="dxa" w:w="60"/>
              <w:left w:type="dxa" w:w="80"/>
              <w:bottom w:type="dxa" w:w="60"/>
              <w:right w:type="dxa" w:w="80"/>
            </w:tcMar>
          </w:tcPr>
          <w:p>
            <w:r>
              <w:rPr>
                <w:sz w:val="18"/>
                <w:szCs w:val="18"/>
              </w:rPr>
              <w:t xml:space="preserve">Alfabetización técnica en inglés</w:t>
            </w:r>
          </w:p>
        </w:tc>
      </w:tr>
      <w:tr>
        <w:trPr>
          <w:tblHeader w:val="off"/>
        </w:trPr>
        <w:tc>
          <w:tcPr>
            <w:tcW w:type="dxa" w:w="732"/>
            <w:tcMar>
              <w:top w:type="dxa" w:w="60"/>
              <w:left w:type="dxa" w:w="80"/>
              <w:bottom w:type="dxa" w:w="60"/>
              <w:right w:type="dxa" w:w="80"/>
            </w:tcMar>
          </w:tcPr>
          <w:p>
            <w:r>
              <w:rPr>
                <w:sz w:val="18"/>
                <w:szCs w:val="18"/>
              </w:rPr>
              <w:t xml:space="preserve">Harvard</w:t>
            </w:r>
          </w:p>
        </w:tc>
        <w:tc>
          <w:tcPr>
            <w:tcW w:type="dxa" w:w="7109"/>
            <w:tcMar>
              <w:top w:type="dxa" w:w="60"/>
              <w:left w:type="dxa" w:w="80"/>
              <w:bottom w:type="dxa" w:w="60"/>
              <w:right w:type="dxa" w:w="80"/>
            </w:tcMar>
          </w:tcPr>
          <w:p>
            <w:r>
              <w:rPr>
                <w:sz w:val="18"/>
                <w:szCs w:val="18"/>
              </w:rPr>
              <w:t xml:space="preserve">Berkman Klein Center: playlist </w:t>
            </w:r>
            <w:r>
              <w:rPr>
                <w:i/>
                <w:iCs/>
                <w:sz w:val="18"/>
                <w:szCs w:val="18"/>
              </w:rPr>
              <w:t xml:space="preserve">Ethics &amp; Governance of AI</w:t>
            </w:r>
            <w:r>
              <w:rPr>
                <w:sz w:val="18"/>
                <w:szCs w:val="18"/>
              </w:rPr>
              <w:t xml:space="preserve">, informe </w:t>
            </w:r>
            <w:r>
              <w:rPr>
                <w:i/>
                <w:iCs/>
                <w:sz w:val="18"/>
                <w:szCs w:val="18"/>
              </w:rPr>
              <w:t xml:space="preserve">Principled AI</w:t>
            </w:r>
            <w:r>
              <w:rPr>
                <w:sz w:val="18"/>
                <w:szCs w:val="18"/>
              </w:rPr>
              <w:t xml:space="preserve">, Initiative on Artificial Intelligence and the Law (Bar-Gill y Sunstein)</w:t>
            </w:r>
          </w:p>
        </w:tc>
        <w:tc>
          <w:tcPr>
            <w:tcW w:type="dxa" w:w="1797"/>
            <w:tcMar>
              <w:top w:type="dxa" w:w="60"/>
              <w:left w:type="dxa" w:w="80"/>
              <w:bottom w:type="dxa" w:w="60"/>
              <w:right w:type="dxa" w:w="80"/>
            </w:tcMar>
          </w:tcPr>
          <w:p>
            <w:r>
              <w:rPr>
                <w:sz w:val="18"/>
                <w:szCs w:val="18"/>
              </w:rPr>
              <w:t xml:space="preserve">Quien quiera seguir el debate regulatorio internacional</w:t>
            </w:r>
          </w:p>
        </w:tc>
      </w:tr>
      <w:tr>
        <w:trPr>
          <w:tblHeader w:val="off"/>
        </w:trPr>
        <w:tc>
          <w:tcPr>
            <w:tcW w:type="dxa" w:w="732"/>
            <w:tcMar>
              <w:top w:type="dxa" w:w="60"/>
              <w:left w:type="dxa" w:w="80"/>
              <w:bottom w:type="dxa" w:w="60"/>
              <w:right w:type="dxa" w:w="80"/>
            </w:tcMar>
          </w:tcPr>
          <w:p>
            <w:r>
              <w:rPr>
                <w:sz w:val="18"/>
                <w:szCs w:val="18"/>
              </w:rPr>
              <w:t xml:space="preserve">Harvard</w:t>
            </w:r>
          </w:p>
        </w:tc>
        <w:tc>
          <w:tcPr>
            <w:tcW w:type="dxa" w:w="7109"/>
            <w:tcMar>
              <w:top w:type="dxa" w:w="60"/>
              <w:left w:type="dxa" w:w="80"/>
              <w:bottom w:type="dxa" w:w="60"/>
              <w:right w:type="dxa" w:w="80"/>
            </w:tcMar>
          </w:tcPr>
          <w:p>
            <w:r>
              <w:rPr>
                <w:i/>
                <w:iCs/>
                <w:sz w:val="18"/>
                <w:szCs w:val="18"/>
              </w:rPr>
              <w:t xml:space="preserve">The Practice</w:t>
            </w:r>
            <w:r>
              <w:rPr>
                <w:sz w:val="18"/>
                <w:szCs w:val="18"/>
              </w:rPr>
              <w:t xml:space="preserve">, número monográfico </w:t>
            </w:r>
            <w:r>
              <w:rPr>
                <w:i/>
                <w:iCs/>
                <w:sz w:val="18"/>
                <w:szCs w:val="18"/>
              </w:rPr>
              <w:t xml:space="preserve">Generative AI in the Legal Profession</w:t>
            </w:r>
            <w:r>
              <w:rPr>
                <w:sz w:val="18"/>
                <w:szCs w:val="18"/>
              </w:rPr>
              <w:t xml:space="preserve"> (Center on the Legal Profession, Harvard Law School, 2023); </w:t>
            </w:r>
            <w:r>
              <w:rPr>
                <w:i/>
                <w:iCs/>
                <w:sz w:val="18"/>
                <w:szCs w:val="18"/>
              </w:rPr>
              <w:t xml:space="preserve">Developments in the Law — Artificial Intelligence</w:t>
            </w:r>
            <w:r>
              <w:rPr>
                <w:sz w:val="18"/>
                <w:szCs w:val="18"/>
              </w:rPr>
              <w:t xml:space="preserve"> (Harvard Law Review, vol. 138, 2025)</w:t>
            </w:r>
          </w:p>
        </w:tc>
        <w:tc>
          <w:tcPr>
            <w:tcW w:type="dxa" w:w="1797"/>
            <w:tcMar>
              <w:top w:type="dxa" w:w="60"/>
              <w:left w:type="dxa" w:w="80"/>
              <w:bottom w:type="dxa" w:w="60"/>
              <w:right w:type="dxa" w:w="80"/>
            </w:tcMar>
          </w:tcPr>
          <w:p>
            <w:r>
              <w:rPr>
                <w:sz w:val="18"/>
                <w:szCs w:val="18"/>
              </w:rPr>
              <w:t xml:space="preserve">Gestión de la práctica jurídica con IA y panorama doctrinal</w:t>
            </w:r>
          </w:p>
        </w:tc>
      </w:tr>
      <w:tr>
        <w:trPr>
          <w:tblHeader w:val="off"/>
        </w:trPr>
        <w:tc>
          <w:tcPr>
            <w:tcW w:type="dxa" w:w="732"/>
            <w:tcMar>
              <w:top w:type="dxa" w:w="60"/>
              <w:left w:type="dxa" w:w="80"/>
              <w:bottom w:type="dxa" w:w="60"/>
              <w:right w:type="dxa" w:w="80"/>
            </w:tcMar>
          </w:tcPr>
          <w:p>
            <w:r>
              <w:rPr>
                <w:sz w:val="18"/>
                <w:szCs w:val="18"/>
              </w:rPr>
              <w:t xml:space="preserve">Harvard</w:t>
            </w:r>
          </w:p>
        </w:tc>
        <w:tc>
          <w:tcPr>
            <w:tcW w:type="dxa" w:w="7109"/>
            <w:tcMar>
              <w:top w:type="dxa" w:w="60"/>
              <w:left w:type="dxa" w:w="80"/>
              <w:bottom w:type="dxa" w:w="60"/>
              <w:right w:type="dxa" w:w="80"/>
            </w:tcMar>
          </w:tcPr>
          <w:p>
            <w:r>
              <w:rPr>
                <w:sz w:val="18"/>
                <w:szCs w:val="18"/>
              </w:rPr>
              <w:t xml:space="preserve">Harvard Journal of Law &amp; Technology, vol. 38: Sobel, </w:t>
            </w:r>
            <w:r>
              <w:rPr>
                <w:i/>
                <w:iCs/>
                <w:sz w:val="18"/>
                <w:szCs w:val="18"/>
              </w:rPr>
              <w:t xml:space="preserve">Elements of Style: Copyright, Similarity, and Generative AI</w:t>
            </w:r>
            <w:r>
              <w:rPr>
                <w:sz w:val="18"/>
                <w:szCs w:val="18"/>
              </w:rPr>
              <w:t xml:space="preserve">; Bracha, </w:t>
            </w:r>
            <w:r>
              <w:rPr>
                <w:i/>
                <w:iCs/>
                <w:sz w:val="18"/>
                <w:szCs w:val="18"/>
              </w:rPr>
              <w:t xml:space="preserve">The Work of Copyright in the Age of Machine Production</w:t>
            </w:r>
          </w:p>
        </w:tc>
        <w:tc>
          <w:tcPr>
            <w:tcW w:type="dxa" w:w="1797"/>
            <w:tcMar>
              <w:top w:type="dxa" w:w="60"/>
              <w:left w:type="dxa" w:w="80"/>
              <w:bottom w:type="dxa" w:w="60"/>
              <w:right w:type="dxa" w:w="80"/>
            </w:tcMar>
          </w:tcPr>
          <w:p>
            <w:r>
              <w:rPr>
                <w:sz w:val="18"/>
                <w:szCs w:val="18"/>
              </w:rPr>
              <w:t xml:space="preserve">Propiedad intelectual e IA generativa</w:t>
            </w:r>
          </w:p>
        </w:tc>
      </w:tr>
      <w:tr>
        <w:trPr>
          <w:tblHeader w:val="off"/>
        </w:trPr>
        <w:tc>
          <w:tcPr>
            <w:tcW w:type="dxa" w:w="732"/>
            <w:tcMar>
              <w:top w:type="dxa" w:w="60"/>
              <w:left w:type="dxa" w:w="80"/>
              <w:bottom w:type="dxa" w:w="60"/>
              <w:right w:type="dxa" w:w="80"/>
            </w:tcMar>
          </w:tcPr>
          <w:p>
            <w:r>
              <w:rPr>
                <w:sz w:val="18"/>
                <w:szCs w:val="18"/>
              </w:rPr>
              <w:t xml:space="preserve">Externado</w:t>
            </w:r>
          </w:p>
        </w:tc>
        <w:tc>
          <w:tcPr>
            <w:tcW w:type="dxa" w:w="7109"/>
            <w:tcMar>
              <w:top w:type="dxa" w:w="60"/>
              <w:left w:type="dxa" w:w="80"/>
              <w:bottom w:type="dxa" w:w="60"/>
              <w:right w:type="dxa" w:w="80"/>
            </w:tcMar>
          </w:tcPr>
          <w:p>
            <w:r>
              <w:rPr>
                <w:sz w:val="18"/>
                <w:szCs w:val="18"/>
              </w:rPr>
              <w:t xml:space="preserve">Especialización y Maestría en Derecho Informático y de las Nuevas Tecnologías; Diplomado en Derecho, Regulación &amp; Tecnología; Curso de inmersión </w:t>
            </w:r>
            <w:r>
              <w:rPr>
                <w:i/>
                <w:iCs/>
                <w:sz w:val="18"/>
                <w:szCs w:val="18"/>
              </w:rPr>
              <w:t xml:space="preserve">Inteligencia Artificial para Abogados e Investigadores en Derecho</w:t>
            </w:r>
          </w:p>
        </w:tc>
        <w:tc>
          <w:tcPr>
            <w:tcW w:type="dxa" w:w="1797"/>
            <w:tcMar>
              <w:top w:type="dxa" w:w="60"/>
              <w:left w:type="dxa" w:w="80"/>
              <w:bottom w:type="dxa" w:w="60"/>
              <w:right w:type="dxa" w:w="80"/>
            </w:tcMar>
          </w:tcPr>
          <w:p>
            <w:r>
              <w:rPr>
                <w:sz w:val="18"/>
                <w:szCs w:val="18"/>
              </w:rPr>
              <w:t xml:space="preserve">Formación formal</w:t>
            </w:r>
          </w:p>
        </w:tc>
      </w:tr>
      <w:tr>
        <w:trPr>
          <w:tblHeader w:val="off"/>
        </w:trPr>
        <w:tc>
          <w:tcPr>
            <w:tcW w:type="dxa" w:w="732"/>
            <w:tcMar>
              <w:top w:type="dxa" w:w="60"/>
              <w:left w:type="dxa" w:w="80"/>
              <w:bottom w:type="dxa" w:w="60"/>
              <w:right w:type="dxa" w:w="80"/>
            </w:tcMar>
          </w:tcPr>
          <w:p>
            <w:r>
              <w:rPr>
                <w:sz w:val="18"/>
                <w:szCs w:val="18"/>
              </w:rPr>
              <w:t xml:space="preserve">Externado</w:t>
            </w:r>
          </w:p>
        </w:tc>
        <w:tc>
          <w:tcPr>
            <w:tcW w:type="dxa" w:w="7109"/>
            <w:tcMar>
              <w:top w:type="dxa" w:w="60"/>
              <w:left w:type="dxa" w:w="80"/>
              <w:bottom w:type="dxa" w:w="60"/>
              <w:right w:type="dxa" w:w="80"/>
            </w:tcMar>
          </w:tcPr>
          <w:p>
            <w:r>
              <w:rPr>
                <w:sz w:val="18"/>
                <w:szCs w:val="18"/>
              </w:rPr>
              <w:t xml:space="preserve">Ciclo de Conferencias 2026 por los 30 años del Departamento de Derecho, Comunicaciones y Tecnologías de la Información; Seminarios web 2025 y 2026; Relatorías 2025 de la Mesa de Trabajo Multiactor sobre Regulación de IA en Colombia (coorganizada con Uniandes)</w:t>
            </w:r>
          </w:p>
        </w:tc>
        <w:tc>
          <w:tcPr>
            <w:tcW w:type="dxa" w:w="1797"/>
            <w:tcMar>
              <w:top w:type="dxa" w:w="60"/>
              <w:left w:type="dxa" w:w="80"/>
              <w:bottom w:type="dxa" w:w="60"/>
              <w:right w:type="dxa" w:w="80"/>
            </w:tcMar>
          </w:tcPr>
          <w:p>
            <w:r>
              <w:rPr>
                <w:sz w:val="18"/>
                <w:szCs w:val="18"/>
              </w:rPr>
              <w:t xml:space="preserve">Seguimiento de la regulación colombiana</w:t>
            </w:r>
          </w:p>
        </w:tc>
      </w:tr>
      <w:tr>
        <w:trPr>
          <w:tblHeader w:val="off"/>
        </w:trPr>
        <w:tc>
          <w:tcPr>
            <w:tcW w:type="dxa" w:w="732"/>
            <w:tcMar>
              <w:top w:type="dxa" w:w="60"/>
              <w:left w:type="dxa" w:w="80"/>
              <w:bottom w:type="dxa" w:w="60"/>
              <w:right w:type="dxa" w:w="80"/>
            </w:tcMar>
          </w:tcPr>
          <w:p>
            <w:r>
              <w:rPr>
                <w:sz w:val="18"/>
                <w:szCs w:val="18"/>
              </w:rPr>
              <w:t xml:space="preserve">Externado</w:t>
            </w:r>
          </w:p>
        </w:tc>
        <w:tc>
          <w:tcPr>
            <w:tcW w:type="dxa" w:w="7109"/>
            <w:tcMar>
              <w:top w:type="dxa" w:w="60"/>
              <w:left w:type="dxa" w:w="80"/>
              <w:bottom w:type="dxa" w:w="60"/>
              <w:right w:type="dxa" w:w="80"/>
            </w:tcMar>
          </w:tcPr>
          <w:p>
            <w:r>
              <w:rPr>
                <w:sz w:val="18"/>
                <w:szCs w:val="18"/>
              </w:rPr>
              <w:t xml:space="preserve">Revista de Derecho Privado (Padilla Sánchez; Battelli, </w:t>
            </w:r>
            <w:r>
              <w:rPr>
                <w:i/>
                <w:iCs/>
                <w:sz w:val="18"/>
                <w:szCs w:val="18"/>
              </w:rPr>
              <w:t xml:space="preserve">La decisión robótica</w:t>
            </w:r>
            <w:r>
              <w:rPr>
                <w:sz w:val="18"/>
                <w:szCs w:val="18"/>
              </w:rPr>
              <w:t xml:space="preserve">; Bertolini, </w:t>
            </w:r>
            <w:r>
              <w:rPr>
                <w:i/>
                <w:iCs/>
                <w:sz w:val="18"/>
                <w:szCs w:val="18"/>
              </w:rPr>
              <w:t xml:space="preserve">¡La inteligencia artificial no existe!</w:t>
            </w:r>
            <w:r>
              <w:rPr>
                <w:sz w:val="18"/>
                <w:szCs w:val="18"/>
              </w:rPr>
              <w:t xml:space="preserve">) y Revista La Propiedad Inmaterial (web scraping y entrenamiento de IA; derecho de autor e IA)</w:t>
            </w:r>
          </w:p>
        </w:tc>
        <w:tc>
          <w:tcPr>
            <w:tcW w:type="dxa" w:w="1797"/>
            <w:tcMar>
              <w:top w:type="dxa" w:w="60"/>
              <w:left w:type="dxa" w:w="80"/>
              <w:bottom w:type="dxa" w:w="60"/>
              <w:right w:type="dxa" w:w="80"/>
            </w:tcMar>
          </w:tcPr>
          <w:p>
            <w:r>
              <w:rPr>
                <w:sz w:val="18"/>
                <w:szCs w:val="18"/>
              </w:rPr>
              <w:t xml:space="preserve">Lectura académica en español</w:t>
            </w:r>
          </w:p>
        </w:tc>
      </w:tr>
    </w:tbl>
    <w:p/>
    <w:p>
      <w:pPr>
        <w:pStyle w:val="Heading1"/>
      </w:pPr>
      <w:r>
        <w:t xml:space="preserve">11. Nota metodológica sobre las fuentes</w:t>
      </w:r>
    </w:p>
    <w:p>
      <w:pPr>
        <w:spacing w:after="120"/>
      </w:pPr>
      <w:r>
        <w:t xml:space="preserve">El catálogo se construyó con búsquedas web restringidas a los dominios institucionales (uexternado.edu.co y sus blogs, uniandes.edu.co y sus portales, cyber.harvard.edu, hls.harvard.edu, jolt.law.harvard.edu, dash.harvard.edu, canales oficiales de YouTube, edX y Coursera). Cada fuente pasó por una segunda ronda de verificación independiente cuyo criterio fue estricto: se considera confirmada solo si una búsqueda devolvió la misma URL o una página del dominio institucional con el mismo título; se marca corregida si se encontró con otros datos; se descarta si nada la respalda. El entorno de trabajo no permitía abrir las páginas directamente, así que la duración de los videos y el número de páginas de los PDF no están confirmados: por eso la lista de chequeo de la sección 9 pide abrir cada URL dos semanas antes. El estado de verificación de cada fuente está en </w:t>
      </w:r>
      <w:r>
        <w:rPr>
          <w:rFonts w:ascii="Consolas" w:cs="Consolas" w:eastAsia="Consolas" w:hAnsi="Consolas"/>
          <w:sz w:val="18"/>
          <w:szCs w:val="18"/>
        </w:rPr>
        <w:t xml:space="preserve">FUENTES.md</w:t>
      </w:r>
      <w:r>
        <w:t xml:space="preserv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Página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color w:val="1F3864"/>
      <w:sz w:val="40"/>
      <w:szCs w:val="4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2F5496"/>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2F549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a52kpoyxl3mq3icis2l3h" Type="http://schemas.openxmlformats.org/officeDocument/2006/relationships/hyperlink" Target="https://propintel.uexternado.edu.co/resumen-de-la-sentencia-t-323-de-2024-de-la-corte-constitucional-de-colombia-sobre-el-uso-de-ia-por-jueces-de-la-republica/" TargetMode="External"/><Relationship Id="rIdxmeslu3kacyxf5wisndke" Type="http://schemas.openxmlformats.org/officeDocument/2006/relationships/hyperlink" Target="https://jolt.law.harvard.edu/digest/a-primer-on-using-artificial-intelligence-in-the-legal-profession" TargetMode="External"/><Relationship Id="rIdzlgc9ix4b43jzq7ttpufh" Type="http://schemas.openxmlformats.org/officeDocument/2006/relationships/hyperlink" Target="https://derecho.uniandes.edu.co/afecta-la-inteligencia-artificial-las-decisiones-que-se-toman-sobre-las-personas/" TargetMode="External"/><Relationship Id="rIdbggm-8odl3d6uv_spdgem" Type="http://schemas.openxmlformats.org/officeDocument/2006/relationships/hyperlink" Target="https://revistas.uexternado.edu.co/index.php/derpri/article/view/6681" TargetMode="External"/><Relationship Id="rIdoy7r8ums803lfd2l7kwb5" Type="http://schemas.openxmlformats.org/officeDocument/2006/relationships/hyperlink" Target="https://habeasdatacolombia.uniandes.edu.co/?p=2817" TargetMode="External"/><Relationship Id="rIddnodjkzkizg4_iej8bwdf" Type="http://schemas.openxmlformats.org/officeDocument/2006/relationships/hyperlink" Target="https://www.harvardmagazine.com/2000/01/code-is-law-html" TargetMode="External"/><Relationship Id="rId1y48dhcj9v3a0k4lk29p7" Type="http://schemas.openxmlformats.org/officeDocument/2006/relationships/hyperlink" Target="https://www.youtube.com/watch?v=Y8UHDl2IJOM" TargetMode="External"/><Relationship Id="rIdgrk_kp8eurqde_g1lpumm" Type="http://schemas.openxmlformats.org/officeDocument/2006/relationships/hyperlink" Target="https://www.youtube.com/watch?v=IvcNLzlJUHA" TargetMode="External"/><Relationship Id="rIdbmcov-hf9hpgb9ixengfz" Type="http://schemas.openxmlformats.org/officeDocument/2006/relationships/hyperlink" Target="https://www.youtube.com/watch?v=-lm4xlX9WcA" TargetMode="External"/><Relationship Id="rId4uwxxieixv-ezlrpfqpq3" Type="http://schemas.openxmlformats.org/officeDocument/2006/relationships/hyperlink" Target="https://www.youtube.com/watch?v=veu2Gt1BqeE" TargetMode="External"/><Relationship Id="rId5qlfvcjtrtq1oyyaefur1" Type="http://schemas.openxmlformats.org/officeDocument/2006/relationships/hyperlink" Target="https://www.youtube.com/watch?v=-ihaM9HKMvg" TargetMode="External"/><Relationship Id="rIdkephlfxtrgqx0klrrsecq" Type="http://schemas.openxmlformats.org/officeDocument/2006/relationships/hyperlink" Target="https://www.youtube.com/watch?v=IZOQWriItd8" TargetMode="External"/><Relationship Id="rIdmhmahrqw9lfusjbv3dl9w" Type="http://schemas.openxmlformats.org/officeDocument/2006/relationships/hyperlink" Target="https://www.youtube.com/watch?v=Jf5o1Dlv28w" TargetMode="External"/><Relationship Id="rIdabgd2eqyn2vzvxpqvqdya" Type="http://schemas.openxmlformats.org/officeDocument/2006/relationships/hyperlink" Target="https://www.youtube.com/watch?v=NlYjcldubB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PROGRAMA.md</dc:title>
  <dc:creator>Conferencia Derecho y Tecnología</dc:creator>
  <cp:lastModifiedBy>Un-named</cp:lastModifiedBy>
  <cp:revision>1</cp:revision>
  <dcterms:created xsi:type="dcterms:W3CDTF">2026-09-28T01:53:52.954Z</dcterms:created>
  <dcterms:modified xsi:type="dcterms:W3CDTF">2026-09-28T01:53:52.955Z</dcterms:modified>
</cp:coreProperties>
</file>

<file path=docProps/custom.xml><?xml version="1.0" encoding="utf-8"?>
<Properties xmlns="http://schemas.openxmlformats.org/officeDocument/2006/custom-properties" xmlns:vt="http://schemas.openxmlformats.org/officeDocument/2006/docPropsVTypes"/>
</file>