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7e8968c7ec95794c56aa213357774ecf606a497"/>
    <w:p>
      <w:pPr>
        <w:pStyle w:val="Heading1"/>
      </w:pPr>
      <w:r>
        <w:t xml:space="preserve">OBSERVATORIO DE DERECHOS HUMANOS Y LITIGIO ESTRATÉGICO DE NORTE DE SANTANDER</w:t>
      </w:r>
    </w:p>
    <w:p>
      <w:pPr>
        <w:pStyle w:val="FirstParagraph"/>
      </w:pPr>
      <w:r>
        <w:t xml:space="preserve">Fase 1 - Línea base departamental de hechos victimizantes, litigio estratégico y red departamental de defensores</w:t>
      </w:r>
    </w:p>
    <w:p>
      <w:pPr>
        <w:pStyle w:val="BodyText"/>
      </w:pPr>
      <w:r>
        <w:t xml:space="preserve">I. DOCUMENTO DE FORMULACIÓN INTEGRADO - METODOLOGÍA GENERAL AJUSTADA (MGA)</w:t>
      </w:r>
    </w:p>
    <w:p>
      <w:pPr>
        <w:pStyle w:val="BodyText"/>
      </w:pPr>
      <w:r>
        <w:t xml:space="preserve">Versión integrada del 27 de agosto de 2026. Este documento unifica la formulación del Observatorio de Derechos Humanos y Litigio Estratégico con el proyecto de garantías y protección estructurado a partir de la investigación sobre estándares nórdicos y de los referentes de Bogotá y Medellín. Los cambios de estructura frente a la versión anterior se consignan en el numeral 26.</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Ficha técnica</w:t>
            </w:r>
          </w:p>
        </w:tc>
        <w:tc>
          <w:tcPr/>
          <w:p>
            <w:pPr>
              <w:pStyle w:val="Compact"/>
            </w:pPr>
          </w:p>
        </w:tc>
      </w:tr>
      <w:tr>
        <w:tc>
          <w:tcPr/>
          <w:p>
            <w:pPr>
              <w:pStyle w:val="Compact"/>
              <w:jc w:val="left"/>
            </w:pPr>
            <w:r>
              <w:t xml:space="preserve">Entidad formuladora y ejecutora</w:t>
            </w:r>
          </w:p>
        </w:tc>
        <w:tc>
          <w:tcPr/>
          <w:p>
            <w:pPr>
              <w:pStyle w:val="Compact"/>
              <w:jc w:val="left"/>
            </w:pPr>
            <w:r>
              <w:t xml:space="preserve">Corporación AR Consultores Jurídicos, entidad sin ánimo de lucro [verificar razón social definitiva y NIT de la entidad ejecutora]</w:t>
            </w:r>
          </w:p>
        </w:tc>
      </w:tr>
      <w:tr>
        <w:tc>
          <w:tcPr/>
          <w:p>
            <w:pPr>
              <w:pStyle w:val="Compact"/>
              <w:jc w:val="left"/>
            </w:pPr>
            <w:r>
              <w:t xml:space="preserve">Sector y programas (Catálogo MGA)</w:t>
            </w:r>
          </w:p>
        </w:tc>
        <w:tc>
          <w:tcPr/>
          <w:p>
            <w:pPr>
              <w:pStyle w:val="Compact"/>
              <w:jc w:val="left"/>
            </w:pPr>
            <w:r>
              <w:t xml:space="preserve">45 - Gobierno Territorial. Programas 4502 (principal) y 4501</w:t>
            </w:r>
          </w:p>
        </w:tc>
      </w:tr>
      <w:tr>
        <w:tc>
          <w:tcPr/>
          <w:p>
            <w:pPr>
              <w:pStyle w:val="Compact"/>
              <w:jc w:val="left"/>
            </w:pPr>
            <w:r>
              <w:t xml:space="preserve">Metas del Plan de Desarrollo</w:t>
            </w:r>
          </w:p>
        </w:tc>
        <w:tc>
          <w:tcPr/>
          <w:p>
            <w:pPr>
              <w:pStyle w:val="Compact"/>
              <w:jc w:val="left"/>
            </w:pPr>
            <w:r>
              <w:t xml:space="preserve">Metas 749, 750, 751, 753, 755, 757, 758, 760, 761, 763 y 764 de la Apuesta 3.2.2, y meta 608 de la Apuesta 2.13.1</w:t>
            </w:r>
          </w:p>
        </w:tc>
      </w:tr>
      <w:tr>
        <w:tc>
          <w:tcPr/>
          <w:p>
            <w:pPr>
              <w:pStyle w:val="Compact"/>
              <w:jc w:val="left"/>
            </w:pPr>
            <w:r>
              <w:t xml:space="preserve">Modalidad de contratación</w:t>
            </w:r>
          </w:p>
        </w:tc>
        <w:tc>
          <w:tcPr/>
          <w:p>
            <w:pPr>
              <w:pStyle w:val="Compact"/>
              <w:jc w:val="left"/>
            </w:pPr>
            <w:r>
              <w:t xml:space="preserve">Convenio de asociación (artículo 96 de la Ley 489 de 1998 y artículo 5 del Decreto 092 de 2017), con celebración directa por aporte de la Corporación no inferior al 30 % del valor total, en dinero (numeral 20)</w:t>
            </w:r>
          </w:p>
        </w:tc>
      </w:tr>
      <w:tr>
        <w:tc>
          <w:tcPr/>
          <w:p>
            <w:pPr>
              <w:pStyle w:val="Compact"/>
              <w:jc w:val="left"/>
            </w:pPr>
            <w:r>
              <w:t xml:space="preserve">Plazo de ejecución</w:t>
            </w:r>
          </w:p>
        </w:tc>
        <w:tc>
          <w:tcPr/>
          <w:p>
            <w:pPr>
              <w:pStyle w:val="Compact"/>
              <w:jc w:val="left"/>
            </w:pPr>
            <w:r>
              <w:t xml:space="preserve">Dos meses y medio: 15 de octubre a 31 de diciembre de 2026</w:t>
            </w:r>
          </w:p>
        </w:tc>
      </w:tr>
      <w:tr>
        <w:tc>
          <w:tcPr/>
          <w:p>
            <w:pPr>
              <w:pStyle w:val="Compact"/>
              <w:jc w:val="left"/>
            </w:pPr>
            <w:r>
              <w:t xml:space="preserve">Aporte de la Gobernación</w:t>
            </w:r>
          </w:p>
        </w:tc>
        <w:tc>
          <w:tcPr/>
          <w:p>
            <w:pPr>
              <w:pStyle w:val="Compact"/>
              <w:jc w:val="left"/>
            </w:pPr>
            <w:r>
              <w:t xml:space="preserve">$200.000.000 (70,0 %), en dinero, que financian la totalidad del componente de litigio estratégico, las rutas de protección, los boletines, la incidencia, la red de defensores y la dirección</w:t>
            </w:r>
          </w:p>
        </w:tc>
      </w:tr>
      <w:tr>
        <w:tc>
          <w:tcPr/>
          <w:p>
            <w:pPr>
              <w:pStyle w:val="Compact"/>
              <w:jc w:val="left"/>
            </w:pPr>
            <w:r>
              <w:t xml:space="preserve">Aporte de la Corporación</w:t>
            </w:r>
          </w:p>
        </w:tc>
        <w:tc>
          <w:tcPr/>
          <w:p>
            <w:pPr>
              <w:pStyle w:val="Compact"/>
              <w:jc w:val="left"/>
            </w:pPr>
            <w:r>
              <w:t xml:space="preserve">$85.714.286 (30,0 %), en dinero, que financian el sistema de información y la investigación del informe de dinámicas de violencia, la facilitación de la ejecución y los imprevistos (numeral 20)</w:t>
            </w:r>
          </w:p>
        </w:tc>
      </w:tr>
      <w:tr>
        <w:tc>
          <w:tcPr/>
          <w:p>
            <w:pPr>
              <w:pStyle w:val="Compact"/>
              <w:jc w:val="left"/>
            </w:pPr>
            <w:r>
              <w:t xml:space="preserve">Valor total del convenio</w:t>
            </w:r>
          </w:p>
        </w:tc>
        <w:tc>
          <w:tcPr/>
          <w:p>
            <w:pPr>
              <w:pStyle w:val="Compact"/>
              <w:jc w:val="left"/>
            </w:pPr>
            <w:r>
              <w:t xml:space="preserve">$285.714.286, en dinero</w:t>
            </w:r>
          </w:p>
        </w:tc>
      </w:tr>
      <w:tr>
        <w:tc>
          <w:tcPr/>
          <w:p>
            <w:pPr>
              <w:pStyle w:val="Compact"/>
              <w:jc w:val="left"/>
            </w:pPr>
            <w:r>
              <w:t xml:space="preserve">Cobertura</w:t>
            </w:r>
          </w:p>
        </w:tc>
        <w:tc>
          <w:tcPr/>
          <w:p>
            <w:pPr>
              <w:pStyle w:val="Compact"/>
              <w:jc w:val="left"/>
            </w:pPr>
            <w:r>
              <w:t xml:space="preserve">40 municipios</w:t>
            </w:r>
          </w:p>
        </w:tc>
      </w:tr>
      <w:tr>
        <w:tc>
          <w:tcPr/>
          <w:p>
            <w:pPr>
              <w:pStyle w:val="Compact"/>
              <w:jc w:val="left"/>
            </w:pPr>
            <w:r>
              <w:t xml:space="preserve">Productos principales</w:t>
            </w:r>
          </w:p>
        </w:tc>
        <w:tc>
          <w:tcPr/>
          <w:p>
            <w:pPr>
              <w:pStyle w:val="Compact"/>
              <w:jc w:val="left"/>
            </w:pPr>
            <w:r>
              <w:t xml:space="preserve">1 sistema de información; 1 informe departamental de dinámicas de violencia; 10 boletines semanales digitales y 2 impresos; 80 personas con seguimiento jurídico; 5 a 8 casos emblemáticos con litigio ante la Comisión Interamericana; 1 red departamental de defensores instalada; 3 documentos de política pública</w:t>
            </w:r>
          </w:p>
        </w:tc>
      </w:tr>
      <w:tr>
        <w:tc>
          <w:tcPr/>
          <w:p>
            <w:pPr>
              <w:pStyle w:val="Compact"/>
              <w:jc w:val="left"/>
            </w:pPr>
            <w:r>
              <w:t xml:space="preserve">Infraestructura física</w:t>
            </w:r>
          </w:p>
        </w:tc>
        <w:tc>
          <w:tcPr/>
          <w:p>
            <w:pPr>
              <w:pStyle w:val="Compact"/>
              <w:jc w:val="left"/>
            </w:pPr>
            <w:r>
              <w:t xml:space="preserve">N/A</w:t>
            </w:r>
          </w:p>
        </w:tc>
      </w:tr>
      <w:tr>
        <w:tc>
          <w:tcPr/>
          <w:p>
            <w:pPr>
              <w:pStyle w:val="Compact"/>
              <w:jc w:val="left"/>
            </w:pPr>
            <w:r>
              <w:t xml:space="preserve">Contratación de servicios jurídicos especializados</w:t>
            </w:r>
          </w:p>
        </w:tc>
        <w:tc>
          <w:tcPr/>
          <w:p>
            <w:pPr>
              <w:pStyle w:val="Compact"/>
              <w:jc w:val="left"/>
            </w:pPr>
            <w:r>
              <w:t xml:space="preserve">La Corporación contrata los servicios jurídicos especializados y el litigio estratégico por $78.500.000, financiados con cargo al aporte de la Gobernación (numeral 14)</w:t>
            </w:r>
          </w:p>
        </w:tc>
      </w:tr>
    </w:tbl>
    <w:bookmarkEnd w:id="20"/>
    <w:bookmarkStart w:id="26" w:name="capítulo-i.-identificación"/>
    <w:p>
      <w:pPr>
        <w:pStyle w:val="Heading1"/>
      </w:pPr>
      <w:r>
        <w:t xml:space="preserve">CAPÍTULO I. IDENTIFICACIÓN</w:t>
      </w:r>
    </w:p>
    <w:bookmarkStart w:id="21" w:name="objeto-y-estructura-del-proyecto"/>
    <w:p>
      <w:pPr>
        <w:pStyle w:val="Heading2"/>
      </w:pPr>
      <w:r>
        <w:t xml:space="preserve">1. Objeto y estructura del proyecto</w:t>
      </w:r>
    </w:p>
    <w:p>
      <w:pPr>
        <w:pStyle w:val="FirstParagraph"/>
      </w:pPr>
      <w:r>
        <w:t xml:space="preserve">Objeto. Documentar de manera unificada y verificable las dinámicas de violencia y los hechos victimizantes que afectan a líderes sociales, defensoras y defensores de derechos humanos, periodistas, opositores políticos y líderes estudiantiles y sindicales en los 40 municipios de Norte de Santander; constituir con esa base un observatorio de la sociedad civil que entregue insumos a los gobiernos municipales, al departamental y al Ejecutivo nacional para el ajuste de las políticas de seguridad y protección; prestar acompañamiento jurídico y litigio estratégico a las personas afectadas, con seguimiento efectivo al estado de sus solicitudes de protección y de sus denuncias penales y con la vocación expresa de llevar los casos emblemáticos ante la Comisión Interamericana de Derechos Humanos; y constituir una red departamental de defensores que articule la protección colectiva y dé sostenibilidad a los resultados.</w:t>
      </w:r>
    </w:p>
    <w:p>
      <w:pPr>
        <w:pStyle w:val="BodyText"/>
      </w:pPr>
      <w:r>
        <w:t xml:space="preserve">El litigio estratégico es el componente central del proyecto. Los demás componentes se diseñan a su servicio: el observatorio produce la prueba de contexto y de patrón que sustenta cada actuación, los boletines documentan la evolución del riesgo durante la ejecución, y la red de defensores es a la vez fuente de casos, destinataria de las medidas colectivas y garantía de continuidad.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Componente</w:t>
            </w:r>
          </w:p>
        </w:tc>
        <w:tc>
          <w:tcPr/>
          <w:p>
            <w:pPr>
              <w:pStyle w:val="Compact"/>
              <w:jc w:val="left"/>
            </w:pPr>
            <w:r>
              <w:t xml:space="preserve">Contenido</w:t>
            </w:r>
          </w:p>
        </w:tc>
      </w:tr>
      <w:tr>
        <w:tc>
          <w:tcPr/>
          <w:p>
            <w:pPr>
              <w:pStyle w:val="Compact"/>
              <w:jc w:val="left"/>
            </w:pPr>
            <w:r>
              <w:t xml:space="preserve">1. Observatorio de dinámicas de violencia y hechos victimizantes</w:t>
            </w:r>
          </w:p>
        </w:tc>
        <w:tc>
          <w:tcPr/>
          <w:p>
            <w:pPr>
              <w:pStyle w:val="Compact"/>
              <w:jc w:val="left"/>
            </w:pPr>
            <w:r>
              <w:t xml:space="preserve">Sistema de información cifrado e interoperable; recolección mediante derechos de petición y solicitudes de información pública a cerca de noventa entidades; red de corresponsales en los 40 municipios; triangulación, deduplicación y escala de confiabilidad; informe departamental y boletines semanales</w:t>
            </w:r>
          </w:p>
        </w:tc>
      </w:tr>
      <w:tr>
        <w:tc>
          <w:tcPr/>
          <w:p>
            <w:pPr>
              <w:pStyle w:val="Compact"/>
              <w:jc w:val="left"/>
            </w:pPr>
            <w:r>
              <w:t xml:space="preserve">2. Litigio estratégico y acompañamiento jurídico</w:t>
            </w:r>
          </w:p>
        </w:tc>
        <w:tc>
          <w:tcPr/>
          <w:p>
            <w:pPr>
              <w:pStyle w:val="Compact"/>
              <w:jc w:val="left"/>
            </w:pPr>
            <w:r>
              <w:t xml:space="preserve">Seguimiento al estado real de las solicitudes de protección ante la UNP y de las denuncias ante la Fiscalía; acciones para desbloquearlas; y litigio de casos emblemáticos, cerrados internamente o de especial gravedad, ante el Sistema Interamericano. Es el componente de mayor peso presupuestal y se financia íntegramente con el aporte de la Gobernación</w:t>
            </w:r>
          </w:p>
        </w:tc>
      </w:tr>
      <w:tr>
        <w:tc>
          <w:tcPr/>
          <w:p>
            <w:pPr>
              <w:pStyle w:val="Compact"/>
              <w:jc w:val="left"/>
            </w:pPr>
            <w:r>
              <w:t xml:space="preserve">3. Incidencia y ajuste de política pública</w:t>
            </w:r>
          </w:p>
        </w:tc>
        <w:tc>
          <w:tcPr/>
          <w:p>
            <w:pPr>
              <w:pStyle w:val="Compact"/>
              <w:jc w:val="left"/>
            </w:pPr>
            <w:r>
              <w:t xml:space="preserve">Tres documentos de recomendaciones (municipal, departamental y nacional), mesa técnica de validación con las fuentes y audiencia pública de presentación ante las instancias competentes</w:t>
            </w:r>
          </w:p>
        </w:tc>
      </w:tr>
      <w:tr>
        <w:tc>
          <w:tcPr/>
          <w:p>
            <w:pPr>
              <w:pStyle w:val="Compact"/>
              <w:jc w:val="left"/>
            </w:pPr>
            <w:r>
              <w:t xml:space="preserve">4. Red departamental de defensores</w:t>
            </w:r>
          </w:p>
        </w:tc>
        <w:tc>
          <w:tcPr/>
          <w:p>
            <w:pPr>
              <w:pStyle w:val="Compact"/>
              <w:jc w:val="left"/>
            </w:pPr>
            <w:r>
              <w:t xml:space="preserve">Red con nodos en las 6 subregiones que integra la red de corresponsales, con protocolo de alerta y reacción rápida entre pares, guía de autoprotección, instalación en acto público y audiencia de balance; articulada con la Mesa Territorial de Garantías y el Comité Departamental de Derechos Humanos y DIH (numeral 15)</w:t>
            </w:r>
          </w:p>
        </w:tc>
      </w:tr>
    </w:tbl>
    <w:bookmarkEnd w:id="21"/>
    <w:bookmarkStart w:id="22" w:name="Xfc0ab7216a2975e6e6250e3fc469eb627dff61e"/>
    <w:p>
      <w:pPr>
        <w:pStyle w:val="Heading2"/>
      </w:pPr>
      <w:r>
        <w:t xml:space="preserve">2. Metas del Plan de Desarrollo Departamental a las que apunta el proyecto</w:t>
      </w:r>
    </w:p>
    <w:p>
      <w:pPr>
        <w:pStyle w:val="FirstParagraph"/>
      </w:pPr>
      <w:r>
        <w:t xml:space="preserve">El proyecto se inscribe en la Apuesta 3.2.2 «Garantizar la protección y el respeto a los derechos humanos y DIH», del Componente 3.2 Convivencia Ciudadana, dentro de la Línea Estratégica 3 «Seguridad y Paz», y de manera destacada en su programa «Por Amor a nuestra tierra, Somos Defensores». El Plan Plurianual de Inversiones asigna a esa apuesta $13.000 millones para el cuatrienio, de modo que el aporte solicitado equivale a cerca del 2,3 % de la apropiación prevista.</w:t>
      </w:r>
    </w:p>
    <w:p>
      <w:pPr>
        <w:pStyle w:val="BodyText"/>
      </w:pPr>
      <w:r>
        <w:t xml:space="preserve">El hallazgo relevante de la verificación es que el objeto del proyecto corresponde de manera directa a compromisos que el Plan de Desarrollo ya adquirió. Las metas 757 y 758 prevén boletines impresos y digitales «de resultados y análisis de la observación de los hechos victimizantes». Esa correspondencia acredita la exigencia del régimen del Decreto 092 de 2017 de que el objeto corresponda a los programas del plan de desarrollo, en beneficio de la población defensora. Conviene precisar el encuadre para preservar la ausencia de relación conmutativa que ese régimen también exige: los boletines y el informe son productos del observatorio de la sociedad civil, dirigidos a la población objetivo y al público, y no constituyen una contraprestación a favor del departamento, sin perjuicio de que este pueda reportar los resultados como gestión asociada a sus metas. La red departamental de defensores, por su parte, materializa directamente las metas 749 (instancias locales de derechos humanos en los 40 municipios), 760 (difusión de la ruta departamental), 761 (fortalecimiento de la Mesa Territorial de Garantías) y 764 (formación de líderes).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Meta</w:t>
            </w:r>
          </w:p>
        </w:tc>
        <w:tc>
          <w:tcPr/>
          <w:p>
            <w:pPr>
              <w:pStyle w:val="Compact"/>
              <w:jc w:val="left"/>
            </w:pPr>
            <w:r>
              <w:t xml:space="preserve">Iniciativa del Plan de Desarrollo</w:t>
            </w:r>
          </w:p>
        </w:tc>
        <w:tc>
          <w:tcPr/>
          <w:p>
            <w:pPr>
              <w:pStyle w:val="Compact"/>
              <w:jc w:val="left"/>
            </w:pPr>
            <w:r>
              <w:t xml:space="preserve">Indicador</w:t>
            </w:r>
          </w:p>
        </w:tc>
        <w:tc>
          <w:tcPr/>
          <w:p>
            <w:pPr>
              <w:pStyle w:val="Compact"/>
              <w:jc w:val="left"/>
            </w:pPr>
            <w:r>
              <w:t xml:space="preserve">Cant. cuatrienio</w:t>
            </w:r>
          </w:p>
        </w:tc>
        <w:tc>
          <w:tcPr/>
          <w:p>
            <w:pPr>
              <w:pStyle w:val="Compact"/>
              <w:jc w:val="left"/>
            </w:pPr>
            <w:r>
              <w:t xml:space="preserve">Aporte de esta fase</w:t>
            </w:r>
          </w:p>
        </w:tc>
      </w:tr>
      <w:tr>
        <w:tc>
          <w:tcPr/>
          <w:p>
            <w:pPr>
              <w:pStyle w:val="Compact"/>
              <w:jc w:val="left"/>
            </w:pPr>
            <w:r>
              <w:t xml:space="preserve">757</w:t>
            </w:r>
          </w:p>
        </w:tc>
        <w:tc>
          <w:tcPr/>
          <w:p>
            <w:pPr>
              <w:pStyle w:val="Compact"/>
              <w:jc w:val="left"/>
            </w:pPr>
            <w:r>
              <w:t xml:space="preserve">3.2.2.11 Boletines impresos de resultados y análisis de la observación de los hechos victimizantes</w:t>
            </w:r>
          </w:p>
        </w:tc>
        <w:tc>
          <w:tcPr/>
          <w:p>
            <w:pPr>
              <w:pStyle w:val="Compact"/>
              <w:jc w:val="left"/>
            </w:pPr>
            <w:r>
              <w:t xml:space="preserve">Boletines estadísticos producidos</w:t>
            </w:r>
          </w:p>
        </w:tc>
        <w:tc>
          <w:tcPr/>
          <w:p>
            <w:pPr>
              <w:pStyle w:val="Compact"/>
              <w:jc w:val="left"/>
            </w:pPr>
            <w:r>
              <w:t xml:space="preserve">288</w:t>
            </w:r>
          </w:p>
        </w:tc>
        <w:tc>
          <w:tcPr/>
          <w:p>
            <w:pPr>
              <w:pStyle w:val="Compact"/>
              <w:jc w:val="left"/>
            </w:pPr>
            <w:r>
              <w:t xml:space="preserve">2 boletines impresos</w:t>
            </w:r>
          </w:p>
        </w:tc>
      </w:tr>
      <w:tr>
        <w:tc>
          <w:tcPr/>
          <w:p>
            <w:pPr>
              <w:pStyle w:val="Compact"/>
              <w:jc w:val="left"/>
            </w:pPr>
            <w:r>
              <w:t xml:space="preserve">758</w:t>
            </w:r>
          </w:p>
        </w:tc>
        <w:tc>
          <w:tcPr/>
          <w:p>
            <w:pPr>
              <w:pStyle w:val="Compact"/>
              <w:jc w:val="left"/>
            </w:pPr>
            <w:r>
              <w:t xml:space="preserve">3.2.2.12 Boletines digitales de resultados y análisis de los hechos victimizantes</w:t>
            </w:r>
          </w:p>
        </w:tc>
        <w:tc>
          <w:tcPr/>
          <w:p>
            <w:pPr>
              <w:pStyle w:val="Compact"/>
              <w:jc w:val="left"/>
            </w:pPr>
            <w:r>
              <w:t xml:space="preserve">Boletines estadísticos producidos</w:t>
            </w:r>
          </w:p>
        </w:tc>
        <w:tc>
          <w:tcPr/>
          <w:p>
            <w:pPr>
              <w:pStyle w:val="Compact"/>
              <w:jc w:val="left"/>
            </w:pPr>
            <w:r>
              <w:t xml:space="preserve">288</w:t>
            </w:r>
          </w:p>
        </w:tc>
        <w:tc>
          <w:tcPr/>
          <w:p>
            <w:pPr>
              <w:pStyle w:val="Compact"/>
              <w:jc w:val="left"/>
            </w:pPr>
            <w:r>
              <w:t xml:space="preserve">10 boletines digitales semanales</w:t>
            </w:r>
          </w:p>
        </w:tc>
      </w:tr>
      <w:tr>
        <w:tc>
          <w:tcPr/>
          <w:p>
            <w:pPr>
              <w:pStyle w:val="Compact"/>
              <w:jc w:val="left"/>
            </w:pPr>
            <w:r>
              <w:t xml:space="preserve">751</w:t>
            </w:r>
          </w:p>
        </w:tc>
        <w:tc>
          <w:tcPr/>
          <w:p>
            <w:pPr>
              <w:pStyle w:val="Compact"/>
              <w:jc w:val="left"/>
            </w:pPr>
            <w:r>
              <w:t xml:space="preserve">3.2.2.5 Garantizar el acceso a la justicia como mecanismo de protección y restablecimiento de derechos</w:t>
            </w:r>
          </w:p>
        </w:tc>
        <w:tc>
          <w:tcPr/>
          <w:p>
            <w:pPr>
              <w:pStyle w:val="Compact"/>
              <w:jc w:val="left"/>
            </w:pPr>
            <w:r>
              <w:t xml:space="preserve">Medidas implementadas</w:t>
            </w:r>
          </w:p>
        </w:tc>
        <w:tc>
          <w:tcPr/>
          <w:p>
            <w:pPr>
              <w:pStyle w:val="Compact"/>
              <w:jc w:val="left"/>
            </w:pPr>
            <w:r>
              <w:t xml:space="preserve">4</w:t>
            </w:r>
          </w:p>
        </w:tc>
        <w:tc>
          <w:tcPr/>
          <w:p>
            <w:pPr>
              <w:pStyle w:val="Compact"/>
              <w:jc w:val="left"/>
            </w:pPr>
            <w:r>
              <w:t xml:space="preserve">1 medida: estrategia de litigio estratégico y acompañamiento jurídico</w:t>
            </w:r>
          </w:p>
        </w:tc>
      </w:tr>
      <w:tr>
        <w:tc>
          <w:tcPr/>
          <w:p>
            <w:pPr>
              <w:pStyle w:val="Compact"/>
              <w:jc w:val="left"/>
            </w:pPr>
            <w:r>
              <w:t xml:space="preserve">763</w:t>
            </w:r>
          </w:p>
        </w:tc>
        <w:tc>
          <w:tcPr/>
          <w:p>
            <w:pPr>
              <w:pStyle w:val="Compact"/>
              <w:jc w:val="left"/>
            </w:pPr>
            <w:r>
              <w:t xml:space="preserve">3.2.2.17 Prevención y protección para los líderes, lideresas, comunales y defensores de derechos humanos</w:t>
            </w:r>
          </w:p>
        </w:tc>
        <w:tc>
          <w:tcPr/>
          <w:p>
            <w:pPr>
              <w:pStyle w:val="Compact"/>
              <w:jc w:val="left"/>
            </w:pPr>
            <w:r>
              <w:t xml:space="preserve">Medidas implementadas</w:t>
            </w:r>
          </w:p>
        </w:tc>
        <w:tc>
          <w:tcPr/>
          <w:p>
            <w:pPr>
              <w:pStyle w:val="Compact"/>
              <w:jc w:val="left"/>
            </w:pPr>
            <w:r>
              <w:t xml:space="preserve">4</w:t>
            </w:r>
          </w:p>
        </w:tc>
        <w:tc>
          <w:tcPr/>
          <w:p>
            <w:pPr>
              <w:pStyle w:val="Compact"/>
              <w:jc w:val="left"/>
            </w:pPr>
            <w:r>
              <w:t xml:space="preserve">1 medida: seguimiento y acción jurídica sobre 80 solicitudes de protección</w:t>
            </w:r>
          </w:p>
        </w:tc>
      </w:tr>
      <w:tr>
        <w:tc>
          <w:tcPr/>
          <w:p>
            <w:pPr>
              <w:pStyle w:val="Compact"/>
              <w:jc w:val="left"/>
            </w:pPr>
            <w:r>
              <w:t xml:space="preserve">750</w:t>
            </w:r>
          </w:p>
        </w:tc>
        <w:tc>
          <w:tcPr/>
          <w:p>
            <w:pPr>
              <w:pStyle w:val="Compact"/>
              <w:jc w:val="left"/>
            </w:pPr>
            <w:r>
              <w:t xml:space="preserve">3.2.2.4 Seguimiento y acompañamiento al cumplimiento de las recomendaciones de las Alertas Tempranas de la Defensoría del Pueblo</w:t>
            </w:r>
          </w:p>
        </w:tc>
        <w:tc>
          <w:tcPr/>
          <w:p>
            <w:pPr>
              <w:pStyle w:val="Compact"/>
              <w:jc w:val="left"/>
            </w:pPr>
            <w:r>
              <w:t xml:space="preserve">Medidas implementadas</w:t>
            </w:r>
          </w:p>
        </w:tc>
        <w:tc>
          <w:tcPr/>
          <w:p>
            <w:pPr>
              <w:pStyle w:val="Compact"/>
              <w:jc w:val="left"/>
            </w:pPr>
            <w:r>
              <w:t xml:space="preserve">4</w:t>
            </w:r>
          </w:p>
        </w:tc>
        <w:tc>
          <w:tcPr/>
          <w:p>
            <w:pPr>
              <w:pStyle w:val="Compact"/>
              <w:jc w:val="left"/>
            </w:pPr>
            <w:r>
              <w:t xml:space="preserve">1 medida: panel de seguimiento a las alertas tempranas y su correlación con hechos posteriores</w:t>
            </w:r>
          </w:p>
        </w:tc>
      </w:tr>
      <w:tr>
        <w:tc>
          <w:tcPr/>
          <w:p>
            <w:pPr>
              <w:pStyle w:val="Compact"/>
              <w:jc w:val="left"/>
            </w:pPr>
            <w:r>
              <w:t xml:space="preserve">755</w:t>
            </w:r>
          </w:p>
        </w:tc>
        <w:tc>
          <w:tcPr/>
          <w:p>
            <w:pPr>
              <w:pStyle w:val="Compact"/>
              <w:jc w:val="left"/>
            </w:pPr>
            <w:r>
              <w:t xml:space="preserve">3.2.2.9 Plan integral de prevención departamental diseñado o actualizado</w:t>
            </w:r>
          </w:p>
        </w:tc>
        <w:tc>
          <w:tcPr/>
          <w:p>
            <w:pPr>
              <w:pStyle w:val="Compact"/>
              <w:jc w:val="left"/>
            </w:pPr>
            <w:r>
              <w:t xml:space="preserve">Diseño y actualización</w:t>
            </w:r>
          </w:p>
        </w:tc>
        <w:tc>
          <w:tcPr/>
          <w:p>
            <w:pPr>
              <w:pStyle w:val="Compact"/>
              <w:jc w:val="left"/>
            </w:pPr>
            <w:r>
              <w:t xml:space="preserve">4</w:t>
            </w:r>
          </w:p>
        </w:tc>
        <w:tc>
          <w:tcPr/>
          <w:p>
            <w:pPr>
              <w:pStyle w:val="Compact"/>
              <w:jc w:val="left"/>
            </w:pPr>
            <w:r>
              <w:t xml:space="preserve">1 actualización sustentada en la evidencia del informe</w:t>
            </w:r>
          </w:p>
        </w:tc>
      </w:tr>
      <w:tr>
        <w:tc>
          <w:tcPr/>
          <w:p>
            <w:pPr>
              <w:pStyle w:val="Compact"/>
              <w:jc w:val="left"/>
            </w:pPr>
            <w:r>
              <w:t xml:space="preserve">761</w:t>
            </w:r>
          </w:p>
        </w:tc>
        <w:tc>
          <w:tcPr/>
          <w:p>
            <w:pPr>
              <w:pStyle w:val="Compact"/>
              <w:jc w:val="left"/>
            </w:pPr>
            <w:r>
              <w:t xml:space="preserve">3.2.2.15 Acompañamiento y fortalecimiento de la Mesa Territorial de Garantías a líderes, lideresas, comunales y defensores</w:t>
            </w:r>
          </w:p>
        </w:tc>
        <w:tc>
          <w:tcPr/>
          <w:p>
            <w:pPr>
              <w:pStyle w:val="Compact"/>
              <w:jc w:val="left"/>
            </w:pPr>
            <w:r>
              <w:t xml:space="preserve">Medidas implementadas</w:t>
            </w:r>
          </w:p>
        </w:tc>
        <w:tc>
          <w:tcPr/>
          <w:p>
            <w:pPr>
              <w:pStyle w:val="Compact"/>
              <w:jc w:val="left"/>
            </w:pPr>
            <w:r>
              <w:t xml:space="preserve">4</w:t>
            </w:r>
          </w:p>
        </w:tc>
        <w:tc>
          <w:tcPr/>
          <w:p>
            <w:pPr>
              <w:pStyle w:val="Compact"/>
              <w:jc w:val="left"/>
            </w:pPr>
            <w:r>
              <w:t xml:space="preserve">1 medida: informe y recomendaciones presentados a la Mesa; instalación de la red departamental de defensores articulada con ella</w:t>
            </w:r>
          </w:p>
        </w:tc>
      </w:tr>
      <w:tr>
        <w:tc>
          <w:tcPr/>
          <w:p>
            <w:pPr>
              <w:pStyle w:val="Compact"/>
              <w:jc w:val="left"/>
            </w:pPr>
            <w:r>
              <w:t xml:space="preserve">753</w:t>
            </w:r>
          </w:p>
        </w:tc>
        <w:tc>
          <w:tcPr/>
          <w:p>
            <w:pPr>
              <w:pStyle w:val="Compact"/>
              <w:jc w:val="left"/>
            </w:pPr>
            <w:r>
              <w:t xml:space="preserve">3.2.2.7 Fortalecimiento al Subcomité Departamental de Prevención, Protección y Garantía de No Repetición</w:t>
            </w:r>
          </w:p>
        </w:tc>
        <w:tc>
          <w:tcPr/>
          <w:p>
            <w:pPr>
              <w:pStyle w:val="Compact"/>
              <w:jc w:val="left"/>
            </w:pPr>
            <w:r>
              <w:t xml:space="preserve">Medidas implementadas</w:t>
            </w:r>
          </w:p>
        </w:tc>
        <w:tc>
          <w:tcPr/>
          <w:p>
            <w:pPr>
              <w:pStyle w:val="Compact"/>
              <w:jc w:val="left"/>
            </w:pPr>
            <w:r>
              <w:t xml:space="preserve">4</w:t>
            </w:r>
          </w:p>
        </w:tc>
        <w:tc>
          <w:tcPr/>
          <w:p>
            <w:pPr>
              <w:pStyle w:val="Compact"/>
              <w:jc w:val="left"/>
            </w:pPr>
            <w:r>
              <w:t xml:space="preserve">1 medida: entrega de insumos técnicos al Subcomité</w:t>
            </w:r>
          </w:p>
        </w:tc>
      </w:tr>
      <w:tr>
        <w:tc>
          <w:tcPr/>
          <w:p>
            <w:pPr>
              <w:pStyle w:val="Compact"/>
              <w:jc w:val="left"/>
            </w:pPr>
            <w:r>
              <w:t xml:space="preserve">749</w:t>
            </w:r>
          </w:p>
        </w:tc>
        <w:tc>
          <w:tcPr/>
          <w:p>
            <w:pPr>
              <w:pStyle w:val="Compact"/>
              <w:jc w:val="left"/>
            </w:pPr>
            <w:r>
              <w:t xml:space="preserve">3.2.2.3 Creación, activación y fortalecimiento de las instancias locales de derechos humanos y DIH en los 40 municipios</w:t>
            </w:r>
          </w:p>
        </w:tc>
        <w:tc>
          <w:tcPr/>
          <w:p>
            <w:pPr>
              <w:pStyle w:val="Compact"/>
              <w:jc w:val="left"/>
            </w:pPr>
            <w:r>
              <w:t xml:space="preserve">Espacios de participación</w:t>
            </w:r>
          </w:p>
        </w:tc>
        <w:tc>
          <w:tcPr/>
          <w:p>
            <w:pPr>
              <w:pStyle w:val="Compact"/>
              <w:jc w:val="left"/>
            </w:pPr>
            <w:r>
              <w:t xml:space="preserve">40</w:t>
            </w:r>
          </w:p>
        </w:tc>
        <w:tc>
          <w:tcPr/>
          <w:p>
            <w:pPr>
              <w:pStyle w:val="Compact"/>
              <w:jc w:val="left"/>
            </w:pPr>
            <w:r>
              <w:t xml:space="preserve">Red de corresponsales y nodos subregionales de la red de defensores articulados con las instancias locales de los 40 municipios</w:t>
            </w:r>
          </w:p>
        </w:tc>
      </w:tr>
      <w:tr>
        <w:tc>
          <w:tcPr/>
          <w:p>
            <w:pPr>
              <w:pStyle w:val="Compact"/>
              <w:jc w:val="left"/>
            </w:pPr>
            <w:r>
              <w:t xml:space="preserve">760</w:t>
            </w:r>
          </w:p>
        </w:tc>
        <w:tc>
          <w:tcPr/>
          <w:p>
            <w:pPr>
              <w:pStyle w:val="Compact"/>
              <w:jc w:val="left"/>
            </w:pPr>
            <w:r>
              <w:t xml:space="preserve">3.2.2.14 Difusión y socialización de la ruta departamental de prevención y protección de líderes y defensores</w:t>
            </w:r>
          </w:p>
        </w:tc>
        <w:tc>
          <w:tcPr/>
          <w:p>
            <w:pPr>
              <w:pStyle w:val="Compact"/>
              <w:jc w:val="left"/>
            </w:pPr>
            <w:r>
              <w:t xml:space="preserve">Difusión de la ruta</w:t>
            </w:r>
          </w:p>
        </w:tc>
        <w:tc>
          <w:tcPr/>
          <w:p>
            <w:pPr>
              <w:pStyle w:val="Compact"/>
              <w:jc w:val="left"/>
            </w:pPr>
            <w:r>
              <w:t xml:space="preserve">40</w:t>
            </w:r>
          </w:p>
        </w:tc>
        <w:tc>
          <w:tcPr/>
          <w:p>
            <w:pPr>
              <w:pStyle w:val="Compact"/>
              <w:jc w:val="left"/>
            </w:pPr>
            <w:r>
              <w:t xml:space="preserve">Difusión de la ruta en las jornadas territoriales, en los encuentros subregionales de la red y a través de la red de corresponsales</w:t>
            </w:r>
          </w:p>
        </w:tc>
      </w:tr>
      <w:tr>
        <w:tc>
          <w:tcPr/>
          <w:p>
            <w:pPr>
              <w:pStyle w:val="Compact"/>
              <w:jc w:val="left"/>
            </w:pPr>
            <w:r>
              <w:t xml:space="preserve">764</w:t>
            </w:r>
          </w:p>
        </w:tc>
        <w:tc>
          <w:tcPr/>
          <w:p>
            <w:pPr>
              <w:pStyle w:val="Compact"/>
              <w:jc w:val="left"/>
            </w:pPr>
            <w:r>
              <w:t xml:space="preserve">3.2.2.18 Formación y capacitación a líderes, lideresas, comunales y defensores</w:t>
            </w:r>
          </w:p>
        </w:tc>
        <w:tc>
          <w:tcPr/>
          <w:p>
            <w:pPr>
              <w:pStyle w:val="Compact"/>
              <w:jc w:val="left"/>
            </w:pPr>
            <w:r>
              <w:t xml:space="preserve">Líderes capacitados</w:t>
            </w:r>
          </w:p>
        </w:tc>
        <w:tc>
          <w:tcPr/>
          <w:p>
            <w:pPr>
              <w:pStyle w:val="Compact"/>
              <w:jc w:val="left"/>
            </w:pPr>
            <w:r>
              <w:t xml:space="preserve">1.000</w:t>
            </w:r>
          </w:p>
        </w:tc>
        <w:tc>
          <w:tcPr/>
          <w:p>
            <w:pPr>
              <w:pStyle w:val="Compact"/>
              <w:jc w:val="left"/>
            </w:pPr>
            <w:r>
              <w:t xml:space="preserve">40 corresponsales municipales y los integrantes de la red formados en documentación y autoprotección</w:t>
            </w:r>
          </w:p>
        </w:tc>
      </w:tr>
      <w:tr>
        <w:tc>
          <w:tcPr/>
          <w:p>
            <w:pPr>
              <w:pStyle w:val="Compact"/>
              <w:jc w:val="left"/>
            </w:pPr>
            <w:r>
              <w:t xml:space="preserve">608</w:t>
            </w:r>
          </w:p>
        </w:tc>
        <w:tc>
          <w:tcPr/>
          <w:p>
            <w:pPr>
              <w:pStyle w:val="Compact"/>
              <w:jc w:val="left"/>
            </w:pPr>
            <w:r>
              <w:t xml:space="preserve">2.13.1.7 Planes de prevención y protección de líderes sociales, defensores y defensoras de derechos humanos (Línea 2 - Víctimas)</w:t>
            </w:r>
          </w:p>
        </w:tc>
        <w:tc>
          <w:tcPr/>
          <w:p>
            <w:pPr>
              <w:pStyle w:val="Compact"/>
              <w:jc w:val="left"/>
            </w:pPr>
            <w:r>
              <w:t xml:space="preserve">Planes de acción articulados</w:t>
            </w:r>
          </w:p>
        </w:tc>
        <w:tc>
          <w:tcPr/>
          <w:p>
            <w:pPr>
              <w:pStyle w:val="Compact"/>
              <w:jc w:val="left"/>
            </w:pPr>
            <w:r>
              <w:t xml:space="preserve">1</w:t>
            </w:r>
          </w:p>
        </w:tc>
        <w:tc>
          <w:tcPr/>
          <w:p>
            <w:pPr>
              <w:pStyle w:val="Compact"/>
              <w:jc w:val="left"/>
            </w:pPr>
            <w:r>
              <w:t xml:space="preserve">Insumos técnicos para el plan de acción articulado</w:t>
            </w:r>
          </w:p>
        </w:tc>
      </w:tr>
    </w:tbl>
    <w:bookmarkEnd w:id="22"/>
    <w:bookmarkStart w:id="23" w:name="problema-central-y-árbol-de-problemas"/>
    <w:p>
      <w:pPr>
        <w:pStyle w:val="Heading2"/>
      </w:pPr>
      <w:r>
        <w:t xml:space="preserve">3. Problema central y árbol de problemas</w:t>
      </w:r>
    </w:p>
    <w:p>
      <w:pPr>
        <w:pStyle w:val="FirstParagraph"/>
      </w:pPr>
      <w:r>
        <w:t xml:space="preserve">Problema central. Las decisiones de política de seguridad y protección en Norte de Santander se adoptan sobre información fragmentada, no comparable y con alto subregistro, mientras las personas defensoras, líderes y periodistas afectadas carecen de acompañamiento jurídico que haga efectivo el seguimiento de sus solicitudes de protección y de sus denuncias, y carecen de una articulación departamental que les permita protegerse colectivamente.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Causas directas</w:t>
            </w:r>
          </w:p>
        </w:tc>
        <w:tc>
          <w:tcPr/>
          <w:p>
            <w:pPr>
              <w:pStyle w:val="Compact"/>
              <w:jc w:val="left"/>
            </w:pPr>
            <w:r>
              <w:t xml:space="preserve">Causas indirectas</w:t>
            </w:r>
          </w:p>
        </w:tc>
      </w:tr>
      <w:tr>
        <w:tc>
          <w:tcPr/>
          <w:p>
            <w:pPr>
              <w:pStyle w:val="Compact"/>
              <w:jc w:val="left"/>
            </w:pPr>
            <w:r>
              <w:t xml:space="preserve">1. Dispersión y falta de comparabilidad de los registros sobre hechos victimizantes.</w:t>
            </w:r>
          </w:p>
        </w:tc>
        <w:tc>
          <w:tcPr/>
          <w:p>
            <w:pPr>
              <w:pStyle w:val="Compact"/>
              <w:jc w:val="left"/>
            </w:pPr>
            <w:r>
              <w:t xml:space="preserve">Cada entidad registra con tipologías, unidades de análisis y períodos distintos; no existe protocolo de triangulación ni deduplicación; la información municipal no se consolida.</w:t>
            </w:r>
          </w:p>
        </w:tc>
      </w:tr>
      <w:tr>
        <w:tc>
          <w:tcPr/>
          <w:p>
            <w:pPr>
              <w:pStyle w:val="Compact"/>
              <w:jc w:val="left"/>
            </w:pPr>
            <w:r>
              <w:t xml:space="preserve">2. Subregistro estructural de las agresiones contra el liderazgo social.</w:t>
            </w:r>
          </w:p>
        </w:tc>
        <w:tc>
          <w:tcPr/>
          <w:p>
            <w:pPr>
              <w:pStyle w:val="Compact"/>
              <w:jc w:val="left"/>
            </w:pPr>
            <w:r>
              <w:t xml:space="preserve">Desconfianza de las víctimas frente a la denuncia; ausencia de presencia institucional en zonas rurales; hechos no letales (amenaza, hostigamiento, desplazamiento) sistemáticamente no registrados.</w:t>
            </w:r>
          </w:p>
        </w:tc>
      </w:tr>
      <w:tr>
        <w:tc>
          <w:tcPr/>
          <w:p>
            <w:pPr>
              <w:pStyle w:val="Compact"/>
              <w:jc w:val="left"/>
            </w:pPr>
            <w:r>
              <w:t xml:space="preserve">3. Ausencia de seguimiento efectivo al trámite de las solicitudes de protección.</w:t>
            </w:r>
          </w:p>
        </w:tc>
        <w:tc>
          <w:tcPr/>
          <w:p>
            <w:pPr>
              <w:pStyle w:val="Compact"/>
              <w:jc w:val="left"/>
            </w:pPr>
            <w:r>
              <w:t xml:space="preserve">Las personas no conocen el estado de su solicitud ante la UNP ni disponen de representación técnica para recurrir la determinación del nivel de riesgo o la mora.</w:t>
            </w:r>
          </w:p>
        </w:tc>
      </w:tr>
      <w:tr>
        <w:tc>
          <w:tcPr/>
          <w:p>
            <w:pPr>
              <w:pStyle w:val="Compact"/>
              <w:jc w:val="left"/>
            </w:pPr>
            <w:r>
              <w:t xml:space="preserve">4. Estancamiento de las investigaciones penales por delitos contra personas defensoras.</w:t>
            </w:r>
          </w:p>
        </w:tc>
        <w:tc>
          <w:tcPr/>
          <w:p>
            <w:pPr>
              <w:pStyle w:val="Compact"/>
              <w:jc w:val="left"/>
            </w:pPr>
            <w:r>
              <w:t xml:space="preserve">Archivos sin notificación efectiva a la víctima; ausencia de constitución en víctima; casos no asignados a la Unidad Especial de Investigación; falta de impulso procesal.</w:t>
            </w:r>
          </w:p>
        </w:tc>
      </w:tr>
      <w:tr>
        <w:tc>
          <w:tcPr/>
          <w:p>
            <w:pPr>
              <w:pStyle w:val="Compact"/>
              <w:jc w:val="left"/>
            </w:pPr>
            <w:r>
              <w:t xml:space="preserve">5. Desconexión entre la evidencia disponible y el diseño de la política pública.</w:t>
            </w:r>
          </w:p>
        </w:tc>
        <w:tc>
          <w:tcPr/>
          <w:p>
            <w:pPr>
              <w:pStyle w:val="Compact"/>
              <w:jc w:val="left"/>
            </w:pPr>
            <w:r>
              <w:t xml:space="preserve">Los planes de prevención y protección se actualizan sin línea base verificable; las recomendaciones de las alertas tempranas no se someten a verificación de cumplimiento.</w:t>
            </w:r>
          </w:p>
        </w:tc>
      </w:tr>
      <w:tr>
        <w:tc>
          <w:tcPr/>
          <w:p>
            <w:pPr>
              <w:pStyle w:val="Compact"/>
              <w:jc w:val="left"/>
            </w:pPr>
            <w:r>
              <w:t xml:space="preserve">6. Desarticulación de las personas defensoras entre municipios y sectores.</w:t>
            </w:r>
          </w:p>
        </w:tc>
        <w:tc>
          <w:tcPr/>
          <w:p>
            <w:pPr>
              <w:pStyle w:val="Compact"/>
              <w:jc w:val="left"/>
            </w:pPr>
            <w:r>
              <w:t xml:space="preserve">No existe una red departamental que conecte los liderazgos de las seis subregiones, comparta alertas entre pares y dé interlocución colectiva ante las instancias de garantías.</w:t>
            </w:r>
          </w:p>
        </w:tc>
      </w:tr>
    </w:tbl>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Efectos directos</w:t>
            </w:r>
          </w:p>
        </w:tc>
        <w:tc>
          <w:tcPr/>
          <w:p>
            <w:pPr>
              <w:pStyle w:val="Compact"/>
              <w:jc w:val="left"/>
            </w:pPr>
            <w:r>
              <w:t xml:space="preserve">Efectos indirectos</w:t>
            </w:r>
          </w:p>
        </w:tc>
      </w:tr>
      <w:tr>
        <w:tc>
          <w:tcPr/>
          <w:p>
            <w:pPr>
              <w:pStyle w:val="Compact"/>
              <w:jc w:val="left"/>
            </w:pPr>
            <w:r>
              <w:t xml:space="preserve">Políticas de seguridad y protección mal focalizadas territorialmente.</w:t>
            </w:r>
          </w:p>
        </w:tc>
        <w:tc>
          <w:tcPr/>
          <w:p>
            <w:pPr>
              <w:pStyle w:val="Compact"/>
              <w:jc w:val="left"/>
            </w:pPr>
            <w:r>
              <w:t xml:space="preserve">Persistencia y repetición de los hechos en los mismos municipios.</w:t>
            </w:r>
          </w:p>
        </w:tc>
      </w:tr>
      <w:tr>
        <w:tc>
          <w:tcPr/>
          <w:p>
            <w:pPr>
              <w:pStyle w:val="Compact"/>
              <w:jc w:val="left"/>
            </w:pPr>
            <w:r>
              <w:t xml:space="preserve">Medidas de protección que no corresponden al nivel real de riesgo.</w:t>
            </w:r>
          </w:p>
        </w:tc>
        <w:tc>
          <w:tcPr/>
          <w:p>
            <w:pPr>
              <w:pStyle w:val="Compact"/>
              <w:jc w:val="left"/>
            </w:pPr>
            <w:r>
              <w:t xml:space="preserve">Homicidios de personas que contaban con esquema o con solicitud en trámite.</w:t>
            </w:r>
          </w:p>
        </w:tc>
      </w:tr>
      <w:tr>
        <w:tc>
          <w:tcPr/>
          <w:p>
            <w:pPr>
              <w:pStyle w:val="Compact"/>
              <w:jc w:val="left"/>
            </w:pPr>
            <w:r>
              <w:t xml:space="preserve">Impunidad sostenida y desincentivo a la denuncia.</w:t>
            </w:r>
          </w:p>
        </w:tc>
        <w:tc>
          <w:tcPr/>
          <w:p>
            <w:pPr>
              <w:pStyle w:val="Compact"/>
              <w:jc w:val="left"/>
            </w:pPr>
            <w:r>
              <w:t xml:space="preserve">Consolidación del control territorial de los actores armados sobre la vida pública.</w:t>
            </w:r>
          </w:p>
        </w:tc>
      </w:tr>
      <w:tr>
        <w:tc>
          <w:tcPr/>
          <w:p>
            <w:pPr>
              <w:pStyle w:val="Compact"/>
              <w:jc w:val="left"/>
            </w:pPr>
            <w:r>
              <w:t xml:space="preserve">Silenciamiento del liderazgo social y de la prensa.</w:t>
            </w:r>
          </w:p>
        </w:tc>
        <w:tc>
          <w:tcPr/>
          <w:p>
            <w:pPr>
              <w:pStyle w:val="Compact"/>
              <w:jc w:val="left"/>
            </w:pPr>
            <w:r>
              <w:t xml:space="preserve">Pérdida de interlocución social en la implementación del PDET Catatumbo y deterioro democrático.</w:t>
            </w:r>
          </w:p>
        </w:tc>
      </w:tr>
    </w:tbl>
    <w:p>
      <w:pPr>
        <w:pStyle w:val="BodyText"/>
      </w:pPr>
      <w:r>
        <w:t xml:space="preserve">La magnitud del fenómeno está acreditada en el documento de soporte: Norte de Santander fue en 2025 el cuarto departamento en homicidios de líderes sociales y el primero en homicidios de firmantes del Acuerdo de Paz; Cúcuta es la ciudad más peligrosa del país para ejercer el periodismo según la Fundación para la Libertad de Prensa; y la crisis del Catatumbo desplazó a más de cien mil personas desde enero de 2025. Precisamente por la gravedad reconocida, el problema que este proyecto atiende no es la ausencia de diagnóstico general sino la ausencia de información municipal, comparable y verificable capaz de orientar decisiones, y la ausencia de actuación jurídica que convierta esa información en protección efectiva.</w:t>
      </w:r>
    </w:p>
    <w:bookmarkEnd w:id="23"/>
    <w:bookmarkStart w:id="24" w:name="población"/>
    <w:p>
      <w:pPr>
        <w:pStyle w:val="Heading2"/>
      </w:pPr>
      <w:r>
        <w:t xml:space="preserve">4. Población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Categoría</w:t>
            </w:r>
          </w:p>
        </w:tc>
        <w:tc>
          <w:tcPr/>
          <w:p>
            <w:pPr>
              <w:pStyle w:val="Compact"/>
              <w:jc w:val="left"/>
            </w:pPr>
            <w:r>
              <w:t xml:space="preserve">Cuantificación</w:t>
            </w:r>
          </w:p>
        </w:tc>
        <w:tc>
          <w:tcPr/>
          <w:p>
            <w:pPr>
              <w:pStyle w:val="Compact"/>
              <w:jc w:val="left"/>
            </w:pPr>
            <w:r>
              <w:t xml:space="preserve">Observación</w:t>
            </w:r>
          </w:p>
        </w:tc>
      </w:tr>
      <w:tr>
        <w:tc>
          <w:tcPr/>
          <w:p>
            <w:pPr>
              <w:pStyle w:val="Compact"/>
              <w:jc w:val="left"/>
            </w:pPr>
            <w:r>
              <w:t xml:space="preserve">Población de referencia</w:t>
            </w:r>
          </w:p>
        </w:tc>
        <w:tc>
          <w:tcPr/>
          <w:p>
            <w:pPr>
              <w:pStyle w:val="Compact"/>
              <w:jc w:val="left"/>
            </w:pPr>
            <w:r>
              <w:t xml:space="preserve">Los 40 municipios del departamento</w:t>
            </w:r>
          </w:p>
        </w:tc>
        <w:tc>
          <w:tcPr/>
          <w:p>
            <w:pPr>
              <w:pStyle w:val="Compact"/>
              <w:jc w:val="left"/>
            </w:pPr>
            <w:r>
              <w:t xml:space="preserve">El observatorio cubre la totalidad del territorio departamental</w:t>
            </w:r>
          </w:p>
        </w:tc>
      </w:tr>
      <w:tr>
        <w:tc>
          <w:tcPr/>
          <w:p>
            <w:pPr>
              <w:pStyle w:val="Compact"/>
              <w:jc w:val="left"/>
            </w:pPr>
            <w:r>
              <w:t xml:space="preserve">Población afectada</w:t>
            </w:r>
          </w:p>
        </w:tc>
        <w:tc>
          <w:tcPr/>
          <w:p>
            <w:pPr>
              <w:pStyle w:val="Compact"/>
              <w:jc w:val="left"/>
            </w:pPr>
            <w:r>
              <w:t xml:space="preserve">Aproximadamente 2.500 personas [verificar]</w:t>
            </w:r>
          </w:p>
        </w:tc>
        <w:tc>
          <w:tcPr/>
          <w:p>
            <w:pPr>
              <w:pStyle w:val="Compact"/>
              <w:jc w:val="left"/>
            </w:pPr>
            <w:r>
              <w:t xml:space="preserve">Universo estimado de personas defensoras, líderes comunales, campesinos, indígenas, sindicales, estudiantiles, periodistas y opositores. Precisar ese universo es, en sí mismo, un resultado del proyecto</w:t>
            </w:r>
          </w:p>
        </w:tc>
      </w:tr>
      <w:tr>
        <w:tc>
          <w:tcPr/>
          <w:p>
            <w:pPr>
              <w:pStyle w:val="Compact"/>
              <w:jc w:val="left"/>
            </w:pPr>
            <w:r>
              <w:t xml:space="preserve">Población objetivo - componente jurídico</w:t>
            </w:r>
          </w:p>
        </w:tc>
        <w:tc>
          <w:tcPr/>
          <w:p>
            <w:pPr>
              <w:pStyle w:val="Compact"/>
              <w:jc w:val="left"/>
            </w:pPr>
            <w:r>
              <w:t xml:space="preserve">80 personas</w:t>
            </w:r>
          </w:p>
        </w:tc>
        <w:tc>
          <w:tcPr/>
          <w:p>
            <w:pPr>
              <w:pStyle w:val="Compact"/>
              <w:jc w:val="left"/>
            </w:pPr>
            <w:r>
              <w:t xml:space="preserve">Con seguimiento documentado y acción jurídica sobre su solicitud de protección o su denuncia penal</w:t>
            </w:r>
          </w:p>
        </w:tc>
      </w:tr>
      <w:tr>
        <w:tc>
          <w:tcPr/>
          <w:p>
            <w:pPr>
              <w:pStyle w:val="Compact"/>
              <w:jc w:val="left"/>
            </w:pPr>
            <w:r>
              <w:t xml:space="preserve">Casos emblemáticos</w:t>
            </w:r>
          </w:p>
        </w:tc>
        <w:tc>
          <w:tcPr/>
          <w:p>
            <w:pPr>
              <w:pStyle w:val="Compact"/>
              <w:jc w:val="left"/>
            </w:pPr>
            <w:r>
              <w:t xml:space="preserve">Entre 5 y 8 casos</w:t>
            </w:r>
          </w:p>
        </w:tc>
        <w:tc>
          <w:tcPr/>
          <w:p>
            <w:pPr>
              <w:pStyle w:val="Compact"/>
              <w:jc w:val="left"/>
            </w:pPr>
            <w:r>
              <w:t xml:space="preserve">Casos cerrados por la jurisdicción interna o de especial gravedad, para petición y solicitud de medidas cautelares ante la CIDH</w:t>
            </w:r>
          </w:p>
        </w:tc>
      </w:tr>
      <w:tr>
        <w:tc>
          <w:tcPr/>
          <w:p>
            <w:pPr>
              <w:pStyle w:val="Compact"/>
              <w:jc w:val="left"/>
            </w:pPr>
            <w:r>
              <w:t xml:space="preserve">Red de corresponsales</w:t>
            </w:r>
          </w:p>
        </w:tc>
        <w:tc>
          <w:tcPr/>
          <w:p>
            <w:pPr>
              <w:pStyle w:val="Compact"/>
              <w:jc w:val="left"/>
            </w:pPr>
            <w:r>
              <w:t xml:space="preserve">40 personas</w:t>
            </w:r>
          </w:p>
        </w:tc>
        <w:tc>
          <w:tcPr/>
          <w:p>
            <w:pPr>
              <w:pStyle w:val="Compact"/>
              <w:jc w:val="left"/>
            </w:pPr>
            <w:r>
              <w:t xml:space="preserve">Una por municipio, articulada con las instancias locales de derechos humanos (meta 749 del Plan de Desarrollo)</w:t>
            </w:r>
          </w:p>
        </w:tc>
      </w:tr>
      <w:tr>
        <w:tc>
          <w:tcPr/>
          <w:p>
            <w:pPr>
              <w:pStyle w:val="Compact"/>
              <w:jc w:val="left"/>
            </w:pPr>
            <w:r>
              <w:t xml:space="preserve">Red departamental de defensores</w:t>
            </w:r>
          </w:p>
        </w:tc>
        <w:tc>
          <w:tcPr/>
          <w:p>
            <w:pPr>
              <w:pStyle w:val="Compact"/>
              <w:jc w:val="left"/>
            </w:pPr>
            <w:r>
              <w:t xml:space="preserve">Nodos en las 6 subregiones</w:t>
            </w:r>
          </w:p>
        </w:tc>
        <w:tc>
          <w:tcPr/>
          <w:p>
            <w:pPr>
              <w:pStyle w:val="Compact"/>
              <w:jc w:val="left"/>
            </w:pPr>
            <w:r>
              <w:t xml:space="preserve">Integra organizaciones sociales, comunales, campesinas, sindicales, estudiantiles, de periodistas y de oposición política; absorbe la red de corresponsales como su función de documentación</w:t>
            </w:r>
          </w:p>
        </w:tc>
      </w:tr>
    </w:tbl>
    <w:bookmarkEnd w:id="24"/>
    <w:bookmarkStart w:id="25" w:name="objetivos"/>
    <w:p>
      <w:pPr>
        <w:pStyle w:val="Heading2"/>
      </w:pPr>
      <w:r>
        <w:t xml:space="preserve">5. Objetivos</w:t>
      </w:r>
    </w:p>
    <w:p>
      <w:pPr>
        <w:pStyle w:val="FirstParagraph"/>
      </w:pPr>
      <w:r>
        <w:t xml:space="preserve">Objetivo general. Mejorar la focalización y la eficacia de la política pública de seguridad y protección en Norte de Santander, mediante la constitución de un observatorio de la sociedad civil sobre las dinámicas de violencia y los hechos victimizantes, el litigio estratégico de los casos de las personas defensoras, líderes y periodistas afectadas, incluida su presentación ante la Comisión Interamericana de Derechos Humanos, y la constitución de una red departamental de defensores.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N.º</w:t>
            </w:r>
          </w:p>
        </w:tc>
        <w:tc>
          <w:tcPr/>
          <w:p>
            <w:pPr>
              <w:pStyle w:val="Compact"/>
              <w:jc w:val="left"/>
            </w:pPr>
            <w:r>
              <w:t xml:space="preserve">Objetivo específico</w:t>
            </w:r>
          </w:p>
        </w:tc>
        <w:tc>
          <w:tcPr/>
          <w:p>
            <w:pPr>
              <w:pStyle w:val="Compact"/>
              <w:jc w:val="left"/>
            </w:pPr>
            <w:r>
              <w:t xml:space="preserve">Producto MGA</w:t>
            </w:r>
          </w:p>
        </w:tc>
      </w:tr>
      <w:tr>
        <w:tc>
          <w:tcPr/>
          <w:p>
            <w:pPr>
              <w:pStyle w:val="Compact"/>
              <w:jc w:val="left"/>
            </w:pPr>
            <w:r>
              <w:t xml:space="preserve">OE1</w:t>
            </w:r>
          </w:p>
        </w:tc>
        <w:tc>
          <w:tcPr/>
          <w:p>
            <w:pPr>
              <w:pStyle w:val="Compact"/>
              <w:jc w:val="left"/>
            </w:pPr>
            <w:r>
              <w:t xml:space="preserve">Disponer de un sistema de información unificado, cifrado e interoperable sobre hechos victimizantes en los 40 municipios</w:t>
            </w:r>
          </w:p>
        </w:tc>
        <w:tc>
          <w:tcPr/>
          <w:p>
            <w:pPr>
              <w:pStyle w:val="Compact"/>
              <w:jc w:val="left"/>
            </w:pPr>
            <w:r>
              <w:t xml:space="preserve">4502016</w:t>
            </w:r>
          </w:p>
        </w:tc>
      </w:tr>
      <w:tr>
        <w:tc>
          <w:tcPr/>
          <w:p>
            <w:pPr>
              <w:pStyle w:val="Compact"/>
              <w:jc w:val="left"/>
            </w:pPr>
            <w:r>
              <w:t xml:space="preserve">OE2</w:t>
            </w:r>
          </w:p>
        </w:tc>
        <w:tc>
          <w:tcPr/>
          <w:p>
            <w:pPr>
              <w:pStyle w:val="Compact"/>
              <w:jc w:val="left"/>
            </w:pPr>
            <w:r>
              <w:t xml:space="preserve">Documentar y analizar las dinámicas de violencia mediante información cruzada de fuentes oficiales, de sociedad civil, internacionales y de prensa</w:t>
            </w:r>
          </w:p>
        </w:tc>
        <w:tc>
          <w:tcPr/>
          <w:p>
            <w:pPr>
              <w:pStyle w:val="Compact"/>
              <w:jc w:val="left"/>
            </w:pPr>
            <w:r>
              <w:t xml:space="preserve">4502030</w:t>
            </w:r>
          </w:p>
        </w:tc>
      </w:tr>
      <w:tr>
        <w:tc>
          <w:tcPr/>
          <w:p>
            <w:pPr>
              <w:pStyle w:val="Compact"/>
              <w:jc w:val="left"/>
            </w:pPr>
            <w:r>
              <w:t xml:space="preserve">OE3</w:t>
            </w:r>
          </w:p>
        </w:tc>
        <w:tc>
          <w:tcPr/>
          <w:p>
            <w:pPr>
              <w:pStyle w:val="Compact"/>
              <w:jc w:val="left"/>
            </w:pPr>
            <w:r>
              <w:t xml:space="preserve">Publicar semanalmente información estadística y de monitoreo sobre la observación de los hechos victimizantes</w:t>
            </w:r>
          </w:p>
        </w:tc>
        <w:tc>
          <w:tcPr/>
          <w:p>
            <w:pPr>
              <w:pStyle w:val="Compact"/>
              <w:jc w:val="left"/>
            </w:pPr>
            <w:r>
              <w:t xml:space="preserve">4502020</w:t>
            </w:r>
          </w:p>
        </w:tc>
      </w:tr>
      <w:tr>
        <w:tc>
          <w:tcPr/>
          <w:p>
            <w:pPr>
              <w:pStyle w:val="Compact"/>
              <w:jc w:val="left"/>
            </w:pPr>
            <w:r>
              <w:t xml:space="preserve">OE4</w:t>
            </w:r>
          </w:p>
        </w:tc>
        <w:tc>
          <w:tcPr/>
          <w:p>
            <w:pPr>
              <w:pStyle w:val="Compact"/>
              <w:jc w:val="left"/>
            </w:pPr>
            <w:r>
              <w:t xml:space="preserve">Prestar litigio estratégico y acompañamiento jurídico, con presentación de los casos emblemáticos ante la Comisión Interamericana de Derechos Humanos</w:t>
            </w:r>
          </w:p>
        </w:tc>
        <w:tc>
          <w:tcPr/>
          <w:p>
            <w:pPr>
              <w:pStyle w:val="Compact"/>
              <w:jc w:val="left"/>
            </w:pPr>
            <w:r>
              <w:t xml:space="preserve">4502038</w:t>
            </w:r>
          </w:p>
        </w:tc>
      </w:tr>
      <w:tr>
        <w:tc>
          <w:tcPr/>
          <w:p>
            <w:pPr>
              <w:pStyle w:val="Compact"/>
              <w:jc w:val="left"/>
            </w:pPr>
            <w:r>
              <w:t xml:space="preserve">OE5</w:t>
            </w:r>
          </w:p>
        </w:tc>
        <w:tc>
          <w:tcPr/>
          <w:p>
            <w:pPr>
              <w:pStyle w:val="Compact"/>
              <w:jc w:val="left"/>
            </w:pPr>
            <w:r>
              <w:t xml:space="preserve">Hacer efectivo el seguimiento al estado de las solicitudes de protección de las personas en riesgo extraordinario y extremo</w:t>
            </w:r>
          </w:p>
        </w:tc>
        <w:tc>
          <w:tcPr/>
          <w:p>
            <w:pPr>
              <w:pStyle w:val="Compact"/>
              <w:jc w:val="left"/>
            </w:pPr>
            <w:r>
              <w:t xml:space="preserve">4501006</w:t>
            </w:r>
          </w:p>
        </w:tc>
      </w:tr>
      <w:tr>
        <w:tc>
          <w:tcPr/>
          <w:p>
            <w:pPr>
              <w:pStyle w:val="Compact"/>
              <w:jc w:val="left"/>
            </w:pPr>
            <w:r>
              <w:t xml:space="preserve">OE6</w:t>
            </w:r>
          </w:p>
        </w:tc>
        <w:tc>
          <w:tcPr/>
          <w:p>
            <w:pPr>
              <w:pStyle w:val="Compact"/>
              <w:jc w:val="left"/>
            </w:pPr>
            <w:r>
              <w:t xml:space="preserve">Entregar insumos técnicos para el ajuste de las políticas de seguridad y protección en los niveles municipal, departamental y nacional</w:t>
            </w:r>
          </w:p>
        </w:tc>
        <w:tc>
          <w:tcPr/>
          <w:p>
            <w:pPr>
              <w:pStyle w:val="Compact"/>
              <w:jc w:val="left"/>
            </w:pPr>
            <w:r>
              <w:t xml:space="preserve">4502032</w:t>
            </w:r>
          </w:p>
        </w:tc>
      </w:tr>
      <w:tr>
        <w:tc>
          <w:tcPr/>
          <w:p>
            <w:pPr>
              <w:pStyle w:val="Compact"/>
              <w:jc w:val="left"/>
            </w:pPr>
            <w:r>
              <w:t xml:space="preserve">OE7</w:t>
            </w:r>
          </w:p>
        </w:tc>
        <w:tc>
          <w:tcPr/>
          <w:p>
            <w:pPr>
              <w:pStyle w:val="Compact"/>
              <w:jc w:val="left"/>
            </w:pPr>
            <w:r>
              <w:t xml:space="preserve">Constituir la red departamental de defensores con nodos en las seis subregiones, protocolo de alerta y reacción rápida y agenda propia de sostenibilidad</w:t>
            </w:r>
          </w:p>
        </w:tc>
        <w:tc>
          <w:tcPr/>
          <w:p>
            <w:pPr>
              <w:pStyle w:val="Compact"/>
              <w:jc w:val="left"/>
            </w:pPr>
            <w:r>
              <w:t xml:space="preserve">4502038</w:t>
            </w:r>
          </w:p>
        </w:tc>
      </w:tr>
    </w:tbl>
    <w:bookmarkEnd w:id="25"/>
    <w:bookmarkEnd w:id="26"/>
    <w:bookmarkStart w:id="32" w:name="Xeb58a59617375943c199d03e8d960079c26ba88"/>
    <w:p>
      <w:pPr>
        <w:pStyle w:val="Heading1"/>
      </w:pPr>
      <w:r>
        <w:t xml:space="preserve">CAPÍTULO II. DISEÑO METODOLÓGICO DEL OBSERVATORIO</w:t>
      </w:r>
    </w:p>
    <w:p>
      <w:pPr>
        <w:pStyle w:val="FirstParagraph"/>
      </w:pPr>
      <w:r>
        <w:t xml:space="preserve">Este capítulo es el corazón técnico del componente de documentación. Un observatorio sin método explícito es una opinión con tablas; lo que sigue define cómo se obtiene la información, cómo se valida y cómo se protege.</w:t>
      </w:r>
    </w:p>
    <w:bookmarkStart w:id="27" w:name="universo-de-observación-y-tipologías"/>
    <w:p>
      <w:pPr>
        <w:pStyle w:val="Heading2"/>
      </w:pPr>
      <w:r>
        <w:t xml:space="preserve">6. Universo de observación y tipologías</w:t>
      </w:r>
    </w:p>
    <w:p>
      <w:pPr>
        <w:pStyle w:val="FirstParagraph"/>
      </w:pPr>
      <w:r>
        <w:t xml:space="preserve">La unidad de análisis es el hecho, asociado a una o más víctimas, a un municipio y a una fecha. Se registran los hechos victimizantes reconocidos en el marco del artículo 3 de la Ley 1448 de 2011, conforme a la categorización del Registro Único de Víctimas (homicidio, desaparición forzada, secuestro, tortura, desplazamiento forzado, confinamiento, reclutamiento de menores, delitos contra la libertad e integridad sexual, minas antipersonal, despojo) y, de manera diferenciada, las tipologías de agresión contra el liderazgo social: amenaza individual y colectiva, atentado, hostigamiento, judicialización arbitraria, estigmatización, robo de información y violencia digital. Cada registro incorpora tipo de liderazgo, sexo, pertenencia étnica, edad, condición de firmante del Acuerdo, condición migratoria y presunto responsable.</w:t>
      </w:r>
    </w:p>
    <w:bookmarkEnd w:id="27"/>
    <w:bookmarkStart w:id="28" w:name="fuentes-y-estrategia-de-recolección"/>
    <w:p>
      <w:pPr>
        <w:pStyle w:val="Heading2"/>
      </w:pPr>
      <w:r>
        <w:t xml:space="preserve">7. Fuentes y estrategia de recolección</w:t>
      </w:r>
    </w:p>
    <w:p>
      <w:pPr>
        <w:pStyle w:val="FirstParagraph"/>
      </w:pPr>
      <w:r>
        <w:t xml:space="preserve">El instrumento central de recolección es el derecho de petición. Se radican cerca de noventa solicitudes en la primera semana de ejecución, invocando el artículo 23 de la Constitución y la Ley 1755 de 2015, que fija diez días hábiles para la petición de documentos e información, y la Ley 1712 de 2014 de transparencia y acceso a la información pública. Frente a negativas por reserva procede el recurso de insistencia del artículo 26 del CPACA (Ley 1437 de 2011, sustituido por la Ley 1755 de 2015) ante el tribunal administrativo y, cuando la reserva invocada sea de defensa y seguridad nacional o relaciones internacionales, el recurso del artículo 27 de la Ley 1712 de 2014; frente a la mora, la acción de tutela. Es una estrategia que juega a favor de la naturaleza de la entidad ejecutora: una corporación de abogados hace esto mejor y más barato que cualquier firma de consultoría.</w:t>
      </w:r>
    </w:p>
    <w:p>
      <w:pPr>
        <w:pStyle w:val="BodyText"/>
      </w:pPr>
      <w:r>
        <w:t xml:space="preserve">Una precisión técnica que decide la viabilidad. A la Fiscalía no se le solicitan expedientes, que están amparados por reserva durante la indagación, sino datos agregados y estadísticos: número de noticias criminales por delito, municipio y año; etapa procesal; número de archivos y de preclusiones; casos asignados a la Unidad Especial de Investigación. Esa información no es reservada. El acceso al expediente individual se obtiene por la vía distinta del poder otorgado por la víctima y la constitución en víctima dentro del proceso.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Ámbito</w:t>
            </w:r>
          </w:p>
        </w:tc>
        <w:tc>
          <w:tcPr/>
          <w:p>
            <w:pPr>
              <w:pStyle w:val="Compact"/>
              <w:jc w:val="left"/>
            </w:pPr>
            <w:r>
              <w:t xml:space="preserve">Entidades y fuentes requeridas</w:t>
            </w:r>
          </w:p>
        </w:tc>
      </w:tr>
      <w:tr>
        <w:tc>
          <w:tcPr/>
          <w:p>
            <w:pPr>
              <w:pStyle w:val="Compact"/>
              <w:jc w:val="left"/>
            </w:pPr>
            <w:r>
              <w:t xml:space="preserve">Seguridad y justicia</w:t>
            </w:r>
          </w:p>
        </w:tc>
        <w:tc>
          <w:tcPr/>
          <w:p>
            <w:pPr>
              <w:pStyle w:val="Compact"/>
              <w:jc w:val="left"/>
            </w:pPr>
            <w:r>
              <w:t xml:space="preserve">Policía Nacional (Departamento de Policía Norte de Santander y Policía Metropolitana de Cúcuta, SIEDCO); Fiscalía General de la Nación (Dirección Seccional y Unidad Especial de Investigación, datos agregados del SPOA); Instituto Nacional de Medicina Legal y Ciencias Forenses, Regional Nororiente; Ejército Nacional, Segunda División</w:t>
            </w:r>
          </w:p>
        </w:tc>
      </w:tr>
      <w:tr>
        <w:tc>
          <w:tcPr/>
          <w:p>
            <w:pPr>
              <w:pStyle w:val="Compact"/>
              <w:jc w:val="left"/>
            </w:pPr>
            <w:r>
              <w:t xml:space="preserve">Ministerio Público y protección</w:t>
            </w:r>
          </w:p>
        </w:tc>
        <w:tc>
          <w:tcPr/>
          <w:p>
            <w:pPr>
              <w:pStyle w:val="Compact"/>
              <w:jc w:val="left"/>
            </w:pPr>
            <w:r>
              <w:t xml:space="preserve">Defensoría del Pueblo (Regional Norte de Santander y Sistema de Alertas Tempranas); Procuraduría General de la Nación, Regional; personerías de los 40 municipios; Unidad Nacional de Protección</w:t>
            </w:r>
          </w:p>
        </w:tc>
      </w:tr>
      <w:tr>
        <w:tc>
          <w:tcPr/>
          <w:p>
            <w:pPr>
              <w:pStyle w:val="Compact"/>
              <w:jc w:val="left"/>
            </w:pPr>
            <w:r>
              <w:t xml:space="preserve">Víctimas y transición</w:t>
            </w:r>
          </w:p>
        </w:tc>
        <w:tc>
          <w:tcPr/>
          <w:p>
            <w:pPr>
              <w:pStyle w:val="Compact"/>
              <w:jc w:val="left"/>
            </w:pPr>
            <w:r>
              <w:t xml:space="preserve">Unidad para la Atención y Reparación Integral a las Víctimas (Registro Único de Víctimas por hecho victimizante y municipio); Unidad de Búsqueda de Personas dadas por Desaparecidas; Jurisdicción Especial para la Paz; Centro Nacional de Memoria Histórica; Agencia de Renovación del Territorio (PDET Catatumbo)</w:t>
            </w:r>
          </w:p>
        </w:tc>
      </w:tr>
      <w:tr>
        <w:tc>
          <w:tcPr/>
          <w:p>
            <w:pPr>
              <w:pStyle w:val="Compact"/>
              <w:jc w:val="left"/>
            </w:pPr>
            <w:r>
              <w:t xml:space="preserve">Gobierno territorial</w:t>
            </w:r>
          </w:p>
        </w:tc>
        <w:tc>
          <w:tcPr/>
          <w:p>
            <w:pPr>
              <w:pStyle w:val="Compact"/>
              <w:jc w:val="left"/>
            </w:pPr>
            <w:r>
              <w:t xml:space="preserve">Secretaría de Gobierno y Secretaría de Seguridad del Departamento; Secretaría de Seguridad Ciudadana de Cúcuta; alcaldías de los 40 municipios (actas de consejos de seguridad y comités territoriales de justicia transicional); Ministerio del Interior, Dirección de Derechos Humanos</w:t>
            </w:r>
          </w:p>
        </w:tc>
      </w:tr>
      <w:tr>
        <w:tc>
          <w:tcPr/>
          <w:p>
            <w:pPr>
              <w:pStyle w:val="Compact"/>
              <w:jc w:val="left"/>
            </w:pPr>
            <w:r>
              <w:t xml:space="preserve">Sistema internacional</w:t>
            </w:r>
          </w:p>
        </w:tc>
        <w:tc>
          <w:tcPr/>
          <w:p>
            <w:pPr>
              <w:pStyle w:val="Compact"/>
              <w:jc w:val="left"/>
            </w:pPr>
            <w:r>
              <w:t xml:space="preserve">Oficina del Alto Comisionado de las Naciones Unidas para los Derechos Humanos; Misión de Verificación de la ONU en Colombia; OCHA (desplazamiento masivo y confinamiento); Comité Internacional de la Cruz Roja; ACNUR; MAPP/OEA</w:t>
            </w:r>
          </w:p>
        </w:tc>
      </w:tr>
      <w:tr>
        <w:tc>
          <w:tcPr/>
          <w:p>
            <w:pPr>
              <w:pStyle w:val="Compact"/>
              <w:jc w:val="left"/>
            </w:pPr>
            <w:r>
              <w:t xml:space="preserve">Sociedad civil y academia</w:t>
            </w:r>
          </w:p>
        </w:tc>
        <w:tc>
          <w:tcPr/>
          <w:p>
            <w:pPr>
              <w:pStyle w:val="Compact"/>
              <w:jc w:val="left"/>
            </w:pPr>
            <w:r>
              <w:t xml:space="preserve">Indepaz; Programa Somos Defensores (SIADDHH); CINEP/Programa por la Paz (Banco de Datos de Violencia Política); Fundación para la Libertad de Prensa; CODHES; Comisión Colombiana de Juristas; Fundación Ideas para la Paz; ASCAMCAT y organizaciones campesinas del Catatumbo; pueblo Barí (Ñatubaiyibarí); centrales sindicales y organizaciones estudiantiles; Diócesis de Cúcuta y de Ocaña; UFPS y Universidad de Pamplona</w:t>
            </w:r>
          </w:p>
        </w:tc>
      </w:tr>
      <w:tr>
        <w:tc>
          <w:tcPr/>
          <w:p>
            <w:pPr>
              <w:pStyle w:val="Compact"/>
              <w:jc w:val="left"/>
            </w:pPr>
            <w:r>
              <w:t xml:space="preserve">Prensa y fuentes abiertas</w:t>
            </w:r>
          </w:p>
        </w:tc>
        <w:tc>
          <w:tcPr/>
          <w:p>
            <w:pPr>
              <w:pStyle w:val="Compact"/>
              <w:jc w:val="left"/>
            </w:pPr>
            <w:r>
              <w:t xml:space="preserve">La Opinión, medios comunitarios y corresponsalías locales; monitoreo sistemático de prensa regional y nacional 2016-2026, con ficha de registro y verificación cruzada</w:t>
            </w:r>
          </w:p>
        </w:tc>
      </w:tr>
    </w:tbl>
    <w:bookmarkEnd w:id="28"/>
    <w:bookmarkStart w:id="29" w:name="X6847232432139f3382b56c7547629023b80c468"/>
    <w:p>
      <w:pPr>
        <w:pStyle w:val="Heading2"/>
      </w:pPr>
      <w:r>
        <w:t xml:space="preserve">8. Triangulación, deduplicación y confiabilidad</w:t>
      </w:r>
    </w:p>
    <w:p>
      <w:pPr>
        <w:pStyle w:val="FirstParagraph"/>
      </w:pPr>
      <w:r>
        <w:t xml:space="preserve">Cada hecho se coteja entre fuentes mediante coincidencia de nombre, fecha, municipio y tipología, con tolerancia definida para variaciones de nombre y fecha. Un mismo hecho reportado por varias fuentes constituye un único registro con múltiples respaldos. Cada registro recibe una calificación:</w:t>
      </w:r>
    </w:p>
    <w:p>
      <w:pPr>
        <w:pStyle w:val="BodyText"/>
      </w:pPr>
      <w:r>
        <w:t xml:space="preserve">Confirmado: dos o más fuentes independientes, al menos una oficial.</w:t>
      </w:r>
    </w:p>
    <w:p>
      <w:pPr>
        <w:pStyle w:val="BodyText"/>
      </w:pPr>
      <w:r>
        <w:t xml:space="preserve">Probable: dos fuentes no oficiales concordantes, o una oficial sin corroboración.</w:t>
      </w:r>
    </w:p>
    <w:p>
      <w:pPr>
        <w:pStyle w:val="BodyText"/>
      </w:pPr>
      <w:r>
        <w:t xml:space="preserve">En verificación: fuente única no oficial, pendiente de corroboración; no se incluye en los agregados publicados pero permanece en la base para seguimiento.</w:t>
      </w:r>
    </w:p>
    <w:p>
      <w:pPr>
        <w:pStyle w:val="BodyText"/>
      </w:pPr>
      <w:r>
        <w:t xml:space="preserve">La brecha entre lo registrado por las fuentes oficiales y por las de sociedad civil no se resuelve escogiendo una: se publica. Esa discrepancia, medida por municipio y por tipología, es uno de los hallazgos de mayor valor para la política pública, porque indica dónde el Estado no está viendo lo que ocurre.</w:t>
      </w:r>
    </w:p>
    <w:bookmarkEnd w:id="29"/>
    <w:bookmarkStart w:id="30" w:name="X0bd1a21e8deafd4a2b58c5ac16ade1eee74b3c4"/>
    <w:p>
      <w:pPr>
        <w:pStyle w:val="Heading2"/>
      </w:pPr>
      <w:r>
        <w:t xml:space="preserve">9. Protección de la información y de las fuentes</w:t>
      </w:r>
    </w:p>
    <w:p>
      <w:pPr>
        <w:pStyle w:val="FirstParagraph"/>
      </w:pPr>
      <w:r>
        <w:t xml:space="preserve">Regla no negociable: la base de datos con identidades, relatos y ubicaciones no se entrega a ninguna entidad, incluida la Gobernación. Se entregan agregados estadísticos, análisis y recomendaciones. El tratamiento se rige por la Ley 1581 de 2012 y el Decreto 1074 de 2015, con clasificación de datos sensibles, cifrado en reposo y en tránsito, control de acceso por perfiles, política de retención y supresión, consentimiento informado de cada persona entrevistada e inscripción de la base en el Registro Nacional de Bases de Datos. Esta cláusula debe quedar expresa en el contrato: sin ella, el observatorio pierde a sus fuentes en el primer ciclo y el proyecto se vuelve inútil.</w:t>
      </w:r>
    </w:p>
    <w:p>
      <w:pPr>
        <w:pStyle w:val="BodyText"/>
      </w:pPr>
      <w:r>
        <w:t xml:space="preserve">Independencia editorial. Un observatorio de la sociedad civil financiado por el departamento solo es creíble si su producto no está sujeto a aprobación previa de la entidad financiadora. Se propone incorporar al contrato una cláusula de autonomía técnica y editorial que reserve a la Corporación la responsabilidad sobre el contenido del informe y de los boletines, y a la Gobernación el derecho de incorporar sus observaciones en un anexo. Sin esa cláusula el resultado será leído como un documento oficial y perderá precisamente el valor que justifica financiarlo. La misma regla protege al componente de litigio: el contrato no puede someter a aprobación de la Gobernación qué casos se litigan ni qué actuaciones se radican.</w:t>
      </w:r>
    </w:p>
    <w:bookmarkEnd w:id="30"/>
    <w:bookmarkStart w:id="31" w:name="productos-analíticos-del-observatorio"/>
    <w:p>
      <w:pPr>
        <w:pStyle w:val="Heading2"/>
      </w:pPr>
      <w:r>
        <w:t xml:space="preserve">10. Productos analíticos del observatorio</w:t>
      </w:r>
    </w:p>
    <w:p>
      <w:pPr>
        <w:pStyle w:val="FirstParagraph"/>
      </w:pPr>
      <w:r>
        <w:t xml:space="preserve">Además del conteo, el informe incorpora seis instrumentos analíticos que convierten los datos en insumos accionables. Se describen en detalle en el numeral 24.</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Instrumento</w:t>
            </w:r>
          </w:p>
        </w:tc>
        <w:tc>
          <w:tcPr/>
          <w:p>
            <w:pPr>
              <w:pStyle w:val="Compact"/>
              <w:jc w:val="left"/>
            </w:pPr>
            <w:r>
              <w:t xml:space="preserve">Utilidad para la política pública</w:t>
            </w:r>
          </w:p>
        </w:tc>
      </w:tr>
      <w:tr>
        <w:tc>
          <w:tcPr/>
          <w:p>
            <w:pPr>
              <w:pStyle w:val="Compact"/>
              <w:jc w:val="left"/>
            </w:pPr>
            <w:r>
              <w:t xml:space="preserve">Índice Departamental de Riesgo para el Liderazgo Social</w:t>
            </w:r>
          </w:p>
        </w:tc>
        <w:tc>
          <w:tcPr/>
          <w:p>
            <w:pPr>
              <w:pStyle w:val="Compact"/>
              <w:jc w:val="left"/>
            </w:pPr>
            <w:r>
              <w:t xml:space="preserve">Ordena los 40 municipios y permite focalizar recursos con criterio defendible</w:t>
            </w:r>
          </w:p>
        </w:tc>
      </w:tr>
      <w:tr>
        <w:tc>
          <w:tcPr/>
          <w:p>
            <w:pPr>
              <w:pStyle w:val="Compact"/>
              <w:jc w:val="left"/>
            </w:pPr>
            <w:r>
              <w:t xml:space="preserve">Barómetro de impunidad</w:t>
            </w:r>
          </w:p>
        </w:tc>
        <w:tc>
          <w:tcPr/>
          <w:p>
            <w:pPr>
              <w:pStyle w:val="Compact"/>
              <w:jc w:val="left"/>
            </w:pPr>
            <w:r>
              <w:t xml:space="preserve">Mide el desempeño real del sistema penal en estos delitos</w:t>
            </w:r>
          </w:p>
        </w:tc>
      </w:tr>
      <w:tr>
        <w:tc>
          <w:tcPr/>
          <w:p>
            <w:pPr>
              <w:pStyle w:val="Compact"/>
              <w:jc w:val="left"/>
            </w:pPr>
            <w:r>
              <w:t xml:space="preserve">Mapa de brecha de protección</w:t>
            </w:r>
          </w:p>
        </w:tc>
        <w:tc>
          <w:tcPr/>
          <w:p>
            <w:pPr>
              <w:pStyle w:val="Compact"/>
              <w:jc w:val="left"/>
            </w:pPr>
            <w:r>
              <w:t xml:space="preserve">Muestra dónde falla territorialmente el sistema estatal de protección</w:t>
            </w:r>
          </w:p>
        </w:tc>
      </w:tr>
      <w:tr>
        <w:tc>
          <w:tcPr/>
          <w:p>
            <w:pPr>
              <w:pStyle w:val="Compact"/>
              <w:jc w:val="left"/>
            </w:pPr>
            <w:r>
              <w:t xml:space="preserve">Panel de alertas tempranas y su cumplimiento</w:t>
            </w:r>
          </w:p>
        </w:tc>
        <w:tc>
          <w:tcPr/>
          <w:p>
            <w:pPr>
              <w:pStyle w:val="Compact"/>
              <w:jc w:val="left"/>
            </w:pPr>
            <w:r>
              <w:t xml:space="preserve">Verifica si las recomendaciones de la Defensoría se implementaron y qué ocurrió cuando no</w:t>
            </w:r>
          </w:p>
        </w:tc>
      </w:tr>
      <w:tr>
        <w:tc>
          <w:tcPr/>
          <w:p>
            <w:pPr>
              <w:pStyle w:val="Compact"/>
              <w:jc w:val="left"/>
            </w:pPr>
            <w:r>
              <w:t xml:space="preserve">Semáforo de respuesta institucional</w:t>
            </w:r>
          </w:p>
        </w:tc>
        <w:tc>
          <w:tcPr/>
          <w:p>
            <w:pPr>
              <w:pStyle w:val="Compact"/>
              <w:jc w:val="left"/>
            </w:pPr>
            <w:r>
              <w:t xml:space="preserve">Mide transparencia y capacidad de información de cada entidad</w:t>
            </w:r>
          </w:p>
        </w:tc>
      </w:tr>
      <w:tr>
        <w:tc>
          <w:tcPr/>
          <w:p>
            <w:pPr>
              <w:pStyle w:val="Compact"/>
              <w:jc w:val="left"/>
            </w:pPr>
            <w:r>
              <w:t xml:space="preserve">Índice de subregistro</w:t>
            </w:r>
          </w:p>
        </w:tc>
        <w:tc>
          <w:tcPr/>
          <w:p>
            <w:pPr>
              <w:pStyle w:val="Compact"/>
              <w:jc w:val="left"/>
            </w:pPr>
            <w:r>
              <w:t xml:space="preserve">Cuantifica lo que el Estado no está viendo</w:t>
            </w:r>
          </w:p>
        </w:tc>
      </w:tr>
    </w:tbl>
    <w:bookmarkEnd w:id="31"/>
    <w:bookmarkEnd w:id="32"/>
    <w:bookmarkStart w:id="37" w:name="X2aafcd40259ac7a5f62de55b941c89128889f9a"/>
    <w:p>
      <w:pPr>
        <w:pStyle w:val="Heading1"/>
      </w:pPr>
      <w:r>
        <w:t xml:space="preserve">CAPÍTULO III. COMPONENTE DE LITIGIO ESTRATÉGICO</w:t>
      </w:r>
    </w:p>
    <w:p>
      <w:pPr>
        <w:pStyle w:val="FirstParagraph"/>
      </w:pPr>
      <w:r>
        <w:t xml:space="preserve">Este es el componente central del proyecto y el de mayor peso presupuestal: la Gobernación financia la totalidad de su costo, incluida la contratación de los servicios jurídicos especializados. El compromiso que estructura el componente es expreso: los casos emblemáticos del proyecto no se agotan en el diagnóstico ni en la jurisdicción interna; llegan a la Comisión Interamericana de Derechos Humanos, mediante peticiones del artículo 44 de la Convención Americana y solicitudes de medidas cautelares del artículo 25 del Reglamento de la Comisión.</w:t>
      </w:r>
    </w:p>
    <w:bookmarkStart w:id="33" w:name="X96d95628d791649722ca3295d1d449482d9dc7c"/>
    <w:p>
      <w:pPr>
        <w:pStyle w:val="Heading2"/>
      </w:pPr>
      <w:r>
        <w:t xml:space="preserve">11. Seguimiento a las solicitudes de protección</w:t>
      </w:r>
    </w:p>
    <w:p>
      <w:pPr>
        <w:pStyle w:val="FirstParagraph"/>
      </w:pPr>
      <w:r>
        <w:t xml:space="preserve">Para las 80 personas vinculadas se abre un expediente de seguimiento que documenta: fecha de la solicitud ante la Unidad Nacional de Protección, ruta empleada (individual o colectiva), práctica y resultado de la evaluación de riesgo, nivel determinado, decisión del CERREM, medidas solicitadas frente a medidas efectivamente otorgadas, tiempo total del trámite y recursos interpuestos. La matriz consolidada alimenta el mapa de brecha de protección del observatorio. Sobre ese diagnóstico se adelantan las actuaciones que correspondan: derechos de petición de información, acción de tutela por mora, recursos contra la determinación del nivel de riesgo, solicitudes de revisión extraordinaria cuando el esquema no corresponde al riesgo real y activación de la ruta de protección colectiva del Decreto 2078 de 2017.</w:t>
      </w:r>
    </w:p>
    <w:bookmarkEnd w:id="33"/>
    <w:bookmarkStart w:id="34" w:name="X7534d61eef0888cea9e093e7e68e03d23205293"/>
    <w:p>
      <w:pPr>
        <w:pStyle w:val="Heading2"/>
      </w:pPr>
      <w:r>
        <w:t xml:space="preserve">12. Seguimiento e impulso de las denuncias penales</w:t>
      </w:r>
    </w:p>
    <w:p>
      <w:pPr>
        <w:pStyle w:val="FirstParagraph"/>
      </w:pPr>
      <w:r>
        <w:t xml:space="preserve">En paralelo se construye la matriz de casos penales: noticia criminal, fecha de los hechos y de la denuncia, delito, despacho y fiscal asignado, etapa procesal, última actuación, tiempo transcurrido y estado (activo, archivado conforme al artículo 79 del Código de Procedimiento Penal, o precluido). Las actuaciones previstas son la constitución en víctima, la solicitud de impulso y de programa metodológico, la solicitud de reanudación en casos archivados cuando surjan nuevos elementos, la solicitud de asignación a la Unidad Especial de Investigación creada por el Decreto Ley 898 de 2017 y la vigilancia especial ante la Dirección Seccional. Toda denuncia se radica invocando el tipo penal del artículo 188E del Código Penal (amenazas contra defensores de derechos humanos, Ley 1908 de 2018) y los lineamientos de la Directiva 002 de 2017 de la Fiscalía, con solicitud expresa de asignación al Grupo de Trabajo Nacional de Amenazas.</w:t>
      </w:r>
    </w:p>
    <w:bookmarkEnd w:id="34"/>
    <w:bookmarkStart w:id="35" w:name="Xf70a7b1b75ded28ab3aeb615ef9b5307c7461a6"/>
    <w:p>
      <w:pPr>
        <w:pStyle w:val="Heading2"/>
      </w:pPr>
      <w:r>
        <w:t xml:space="preserve">13. Casos emblemáticos y litigio interamericano</w:t>
      </w:r>
    </w:p>
    <w:p>
      <w:pPr>
        <w:pStyle w:val="FirstParagraph"/>
      </w:pPr>
      <w:r>
        <w:t xml:space="preserve">Selección. Se priorizan entre cinco y ocho casos que cumplan al menos uno de dos criterios: haber sido cerrados por la jurisdicción interna (archivo o preclusión en firme, con recursos agotados), o revestir especial gravedad y representatividad de un patrón. Los criterios de selección se documentan y se someten a la mesa técnica, para que la escogencia no sea discrecional.</w:t>
      </w:r>
    </w:p>
    <w:p>
      <w:pPr>
        <w:pStyle w:val="BodyText"/>
      </w:pPr>
      <w:r>
        <w:t xml:space="preserve">Para los casos con recursos internos agotados procede la petición ante la Comisión Interamericana conforme al artículo 46 de la Convención Americana; cuando la demora sea injustificada, opera la excepción del artículo 46.2.c. De manera concurrente, y cuando exista gravedad, urgencia y riesgo de daño irreparable, se solicitan medidas cautelares al amparo del artículo 25 del Reglamento de la Comisión, privilegiando las de alcance colectivo para comunidades y organizaciones del Catatumbo, y para la propia red departamental de defensores, por su mayor impacto y menor costo marginal. El precedente territorial existe: la Comisión otorgó medidas cautelares a la junta directiva de ASODESCAT (Catatumbo) el 20 de noviembre de 2023 y a liderazgos del Catatumbo en 2025. Se prevé además la solicitud de una audiencia temática sobre la situación del departamento y comunicaciones a los Procedimientos Especiales de Naciones Unidas, que no exigen agotamiento previo.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Actuación</w:t>
            </w:r>
          </w:p>
        </w:tc>
        <w:tc>
          <w:tcPr/>
          <w:p>
            <w:pPr>
              <w:pStyle w:val="Compact"/>
              <w:jc w:val="left"/>
            </w:pPr>
            <w:r>
              <w:t xml:space="preserve">Meta Fase 1</w:t>
            </w:r>
          </w:p>
        </w:tc>
      </w:tr>
      <w:tr>
        <w:tc>
          <w:tcPr/>
          <w:p>
            <w:pPr>
              <w:pStyle w:val="Compact"/>
              <w:jc w:val="left"/>
            </w:pPr>
            <w:r>
              <w:t xml:space="preserve">Personas con expediente de seguimiento a su solicitud de protección</w:t>
            </w:r>
          </w:p>
        </w:tc>
        <w:tc>
          <w:tcPr/>
          <w:p>
            <w:pPr>
              <w:pStyle w:val="Compact"/>
              <w:jc w:val="left"/>
            </w:pPr>
            <w:r>
              <w:t xml:space="preserve">80</w:t>
            </w:r>
          </w:p>
        </w:tc>
      </w:tr>
      <w:tr>
        <w:tc>
          <w:tcPr/>
          <w:p>
            <w:pPr>
              <w:pStyle w:val="Compact"/>
              <w:jc w:val="left"/>
            </w:pPr>
            <w:r>
              <w:t xml:space="preserve">Casos con actuación jurídica radicada ante la UNP o el CERREM</w:t>
            </w:r>
          </w:p>
        </w:tc>
        <w:tc>
          <w:tcPr/>
          <w:p>
            <w:pPr>
              <w:pStyle w:val="Compact"/>
              <w:jc w:val="left"/>
            </w:pPr>
            <w:r>
              <w:t xml:space="preserve">40</w:t>
            </w:r>
          </w:p>
        </w:tc>
      </w:tr>
      <w:tr>
        <w:tc>
          <w:tcPr/>
          <w:p>
            <w:pPr>
              <w:pStyle w:val="Compact"/>
              <w:jc w:val="left"/>
            </w:pPr>
            <w:r>
              <w:t xml:space="preserve">Casos con impulso procesal radicado ante la Fiscalía</w:t>
            </w:r>
          </w:p>
        </w:tc>
        <w:tc>
          <w:tcPr/>
          <w:p>
            <w:pPr>
              <w:pStyle w:val="Compact"/>
              <w:jc w:val="left"/>
            </w:pPr>
            <w:r>
              <w:t xml:space="preserve">60</w:t>
            </w:r>
          </w:p>
        </w:tc>
      </w:tr>
      <w:tr>
        <w:tc>
          <w:tcPr/>
          <w:p>
            <w:pPr>
              <w:pStyle w:val="Compact"/>
              <w:jc w:val="left"/>
            </w:pPr>
            <w:r>
              <w:t xml:space="preserve">Casos emblemáticos documentados y con estudio de agotamiento de recursos</w:t>
            </w:r>
          </w:p>
        </w:tc>
        <w:tc>
          <w:tcPr/>
          <w:p>
            <w:pPr>
              <w:pStyle w:val="Compact"/>
              <w:jc w:val="left"/>
            </w:pPr>
            <w:r>
              <w:t xml:space="preserve">5 a 8</w:t>
            </w:r>
          </w:p>
        </w:tc>
      </w:tr>
      <w:tr>
        <w:tc>
          <w:tcPr/>
          <w:p>
            <w:pPr>
              <w:pStyle w:val="Compact"/>
              <w:jc w:val="left"/>
            </w:pPr>
            <w:r>
              <w:t xml:space="preserve">Peticiones presentadas ante la Comisión Interamericana</w:t>
            </w:r>
          </w:p>
        </w:tc>
        <w:tc>
          <w:tcPr/>
          <w:p>
            <w:pPr>
              <w:pStyle w:val="Compact"/>
              <w:jc w:val="left"/>
            </w:pPr>
            <w:r>
              <w:t xml:space="preserve">3</w:t>
            </w:r>
          </w:p>
        </w:tc>
      </w:tr>
      <w:tr>
        <w:tc>
          <w:tcPr/>
          <w:p>
            <w:pPr>
              <w:pStyle w:val="Compact"/>
              <w:jc w:val="left"/>
            </w:pPr>
            <w:r>
              <w:t xml:space="preserve">Solicitudes de medidas cautelares, individuales o colectivas, incluida al menos una colectiva</w:t>
            </w:r>
          </w:p>
        </w:tc>
        <w:tc>
          <w:tcPr/>
          <w:p>
            <w:pPr>
              <w:pStyle w:val="Compact"/>
              <w:jc w:val="left"/>
            </w:pPr>
            <w:r>
              <w:t xml:space="preserve">3</w:t>
            </w:r>
          </w:p>
        </w:tc>
      </w:tr>
      <w:tr>
        <w:tc>
          <w:tcPr/>
          <w:p>
            <w:pPr>
              <w:pStyle w:val="Compact"/>
              <w:jc w:val="left"/>
            </w:pPr>
            <w:r>
              <w:t xml:space="preserve">Solicitud de audiencia temática ante la CIDH</w:t>
            </w:r>
          </w:p>
        </w:tc>
        <w:tc>
          <w:tcPr/>
          <w:p>
            <w:pPr>
              <w:pStyle w:val="Compact"/>
              <w:jc w:val="left"/>
            </w:pPr>
            <w:r>
              <w:t xml:space="preserve">1</w:t>
            </w:r>
          </w:p>
        </w:tc>
      </w:tr>
      <w:tr>
        <w:tc>
          <w:tcPr/>
          <w:p>
            <w:pPr>
              <w:pStyle w:val="Compact"/>
              <w:jc w:val="left"/>
            </w:pPr>
            <w:r>
              <w:t xml:space="preserve">Comunicaciones a Procedimientos Especiales de la ONU</w:t>
            </w:r>
          </w:p>
        </w:tc>
        <w:tc>
          <w:tcPr/>
          <w:p>
            <w:pPr>
              <w:pStyle w:val="Compact"/>
              <w:jc w:val="left"/>
            </w:pPr>
            <w:r>
              <w:t xml:space="preserve">2</w:t>
            </w:r>
          </w:p>
        </w:tc>
      </w:tr>
    </w:tbl>
    <w:p>
      <w:pPr>
        <w:pStyle w:val="BodyText"/>
      </w:pPr>
      <w:r>
        <w:t xml:space="preserve">Las metas de radicación son exigibles dentro del plazo; la decisión de la Comisión sobre peticiones y medidas cautelares excede el término del contrato y así debe quedar consignado en los indicadores: el producto verificable de la fase es la actuación radicada con expediente probatorio completo, y la continuidad de la representación queda garantizada conforme al numeral 14.6.</w:t>
      </w:r>
    </w:p>
    <w:bookmarkEnd w:id="35"/>
    <w:bookmarkStart w:id="36" w:name="X0d92d57703d64c3b35fa949069cda7e0d0eae08"/>
    <w:p>
      <w:pPr>
        <w:pStyle w:val="Heading2"/>
      </w:pPr>
      <w:r>
        <w:t xml:space="preserve">14. Contratación de los servicios jurídicos especializados</w:t>
      </w:r>
    </w:p>
    <w:p>
      <w:pPr>
        <w:pStyle w:val="FirstParagraph"/>
      </w:pPr>
      <w:r>
        <w:t xml:space="preserve">La Corporación contratará la prestación de los servicios jurídicos especializados y el litigio estratégico del proyecto, por un valor de $78.500.000, financiado íntegramente con cargo al aporte de la Gobernación. Es la partida individual de mayor cuantía del proyecto y así se consigna de manera expresa desde la formulación, para que la Gobernación conozca la estructura de ejecución antes de suscribir y no después. Junto con la coordinación jurídica, los abogados de planta, el acompañamiento psicosocial y los gastos directos de litigio, el componente jurídico concentra $117.000.000, el 58,5 % del aporte departamental.</w:t>
      </w:r>
    </w:p>
    <w:p>
      <w:pPr>
        <w:pStyle w:val="BodyText"/>
      </w:pPr>
      <w:r>
        <w:t xml:space="preserve">14.1. Objeto del subcontrato</w:t>
      </w:r>
    </w:p>
    <w:p>
      <w:pPr>
        <w:pStyle w:val="BodyText"/>
      </w:pPr>
      <w:r>
        <w:t xml:space="preserve">Representación jurídica especializada de las personas beneficiarias ante la Unidad Nacional de Protección y el CERREM, en los casos que la coordinación jurídica le asigne: recursos contra la determinación del nivel de riesgo, solicitudes de revisión extraordinaria y acciones de tutela por mora.</w:t>
      </w:r>
    </w:p>
    <w:p>
      <w:pPr>
        <w:pStyle w:val="BodyText"/>
      </w:pPr>
      <w:r>
        <w:t xml:space="preserve">Impulso procesal ante la Fiscalía General de la Nación: constitución en víctima, solicitudes de programa metodológico, solicitud de reanudación en casos archivados y solicitud de asignación a la Unidad Especial de Investigación.</w:t>
      </w:r>
    </w:p>
    <w:p>
      <w:pPr>
        <w:pStyle w:val="BodyText"/>
      </w:pPr>
      <w:r>
        <w:t xml:space="preserve">Elaboración, sustentación y radicación de peticiones y de solicitudes de medidas cautelares, individuales y colectivas, ante la Comisión Interamericana de Derechos Humanos.</w:t>
      </w:r>
    </w:p>
    <w:p>
      <w:pPr>
        <w:pStyle w:val="BodyText"/>
      </w:pPr>
      <w:r>
        <w:t xml:space="preserve">Litigio penal complejo en los casos emblemáticos seleccionados.</w:t>
      </w:r>
    </w:p>
    <w:p>
      <w:pPr>
        <w:pStyle w:val="BodyText"/>
      </w:pPr>
      <w:r>
        <w:t xml:space="preserve">Solicitud de audiencia temática ante la Comisión Interamericana y comunicaciones a los Procedimientos Especiales de las Naciones Unidas.</w:t>
      </w:r>
    </w:p>
    <w:p>
      <w:pPr>
        <w:pStyle w:val="BodyText"/>
      </w:pPr>
      <w:r>
        <w:t xml:space="preserve">La frontera con el equipo propio queda delimitada de manera expresa: el seguimiento y las actuaciones ordinarias ante la UNP y el CERREM corresponden al abogado o abogada de rutas de protección de la Corporación (actividad 5.1); la firma asume la representación especializada solo en los casos que la coordinación jurídica le asigne, además del litigio penal complejo y del litigio ante el Sistema Interamericano. Esta delimitación excluye la duplicidad de objeto y de pago entre las actividades 5.1 y 4.3.</w:t>
      </w:r>
    </w:p>
    <w:p>
      <w:pPr>
        <w:pStyle w:val="BodyText"/>
      </w:pPr>
      <w:r>
        <w:t xml:space="preserve">14.2. Razón de la subcontratación</w:t>
      </w:r>
    </w:p>
    <w:p>
      <w:pPr>
        <w:pStyle w:val="BodyText"/>
      </w:pPr>
      <w:r>
        <w:t xml:space="preserve">El litigio ante el Sistema Interamericano y el litigio penal complejo en casos de personas defensoras exigen experiencia acreditada que no se construye en dos meses y medio. Constituir esa capacidad internamente para un plazo tan corto sería más costoso y menos eficaz que contratar a una firma con trayectoria demostrada ante la Comisión. La Corporación conserva en su equipo la coordinación jurídica, la dirección de la estrategia de litigio, la documentación y sustanciación de los casos, el seguimiento de las rutas de protección y la supervisión técnica del subcontrato.</w:t>
      </w:r>
    </w:p>
    <w:p>
      <w:pPr>
        <w:pStyle w:val="BodyText"/>
      </w:pPr>
      <w:r>
        <w:t xml:space="preserve">La subcontratación no sustituye la idoneidad de la Corporación: su experiencia propia en acompañamiento jurídico a personas defensoras, actuaciones ante la UNP y la Fiscalía y litigio constitucional sustenta el programa integral (observatorio, acompañamiento jurídico y red); la firma aporta el complemento especializado en litigio interamericano y penal complejo, bajo dirección de la Corporación. Esta cuestión se incluye de manera expresa en la consulta a Colombia Compra Eficiente prevista en el numeral 14.4.</w:t>
      </w:r>
    </w:p>
    <w:p>
      <w:pPr>
        <w:pStyle w:val="BodyText"/>
      </w:pPr>
      <w:r>
        <w:t xml:space="preserve">14.3. Financiación del subcontrato</w:t>
      </w:r>
    </w:p>
    <w:p>
      <w:pPr>
        <w:pStyle w:val="BodyText"/>
      </w:pPr>
      <w:r>
        <w:t xml:space="preserve">El subcontrato se financia en su totalidad con recursos del aporte de la Gobernación. La decisión es deliberada y responde a la naturaleza del proyecto: el litigio estratégico es su componente central y su producto de mayor valor público, y corresponde al financiador público asumirlo. El aporte de la Corporación, no inferior al 30 % del valor total y comprometido en dinero, financia el aparato completo de documentación (el sistema de información y la investigación del informe con su propio equipo), los gastos de facilitación de la ejecución (alquiler de equipos portátiles cifrados, salas seguras por horas, conectividad y papelería) y los imprevistos (numeral 20). Con esa distribución cada parte financia el frente que le es propio: el departamento, la exigencia jurídica de protección; la Corporación, la producción del conocimiento que la sustenta.</w:t>
      </w:r>
    </w:p>
    <w:p>
      <w:pPr>
        <w:pStyle w:val="BodyText"/>
      </w:pPr>
      <w:r>
        <w:t xml:space="preserve">14.4. Análisis jurídico del límite a la subcontratación</w:t>
      </w:r>
    </w:p>
    <w:p>
      <w:pPr>
        <w:pStyle w:val="BodyText"/>
      </w:pPr>
      <w:r>
        <w:t xml:space="preserve">El Decreto 092 de 2017 no fija un porcentaje máximo de subcontratación. Lo que exige, y es la exigencia que debe satisfacerse, es que la entidad sin ánimo de lucro sea de reconocida idoneidad y desarrolle ella misma el programa objeto del contrato, sin que la escogencia se vacíe de contenido mediante una delegación total en un tercero. En la formulación anterior la defensa de la estructura descansaba en que el subcontrato se pagaba con el aporte propio de la Corporación; en esta estructura se paga con recursos públicos, de modo que la defensa debe descansar, y descansa, en tres elementos verificables:</w:t>
      </w:r>
    </w:p>
    <w:p>
      <w:pPr>
        <w:pStyle w:val="BodyText"/>
      </w:pPr>
      <w:r>
        <w:t xml:space="preserve">El objeto del contrato excede el litigio. De los siete productos, cinco (el sistema de información, la investigación, los boletines, los lineamientos técnicos y la red de defensores) se ejecutan íntegramente con equipo propio de la Corporación. En el componente jurídico, el subcontrato apoya el producto 4 y, solo en los casos que la coordinación jurídica le asigne, actuaciones especializadas del producto 5, cuyo seguimiento ordinario permanece en el equipo propio (numeral 14.1).</w:t>
      </w:r>
    </w:p>
    <w:p>
      <w:pPr>
        <w:pStyle w:val="BodyText"/>
      </w:pPr>
      <w:r>
        <w:t xml:space="preserve">La Corporación ejecuta directamente la mayoría del valor. El subcontrato representa el 27,5 % del valor total del convenio; el 72,5 % restante se ejecuta bajo la responsabilidad y ejecución directa de la Corporación, que destina $115.250.000 a su equipo propio.</w:t>
      </w:r>
    </w:p>
    <w:p>
      <w:pPr>
        <w:pStyle w:val="BodyText"/>
      </w:pPr>
      <w:r>
        <w:t xml:space="preserve">La dirección y la responsabilidad no se delegan, y el pago público queda condicionado. La coordinación jurídica de la Corporación fija la estrategia, selecciona los casos, aprueba los escritos y supervisa los entregables; el subcontrato se paga contra entregables aprobados (numeral 14.6), de modo que el recurso público solo se desembolsa frente a actuaciones verificadas. La titularidad de los productos jurídicos permanece en cabeza de la Corporación y de las personas beneficiarias.</w:t>
      </w:r>
    </w:p>
    <w:p>
      <w:pPr>
        <w:pStyle w:val="BodyText"/>
      </w:pPr>
      <w:r>
        <w:t xml:space="preserve">Recomendación. Debe elevarse consulta escrita a la Agencia Nacional de Contratación Pública - Colombia Compra Eficiente sobre la admisibilidad de la estructura en este contrato específico, y anexarse la respuesta a los estudios previos. Es un trámite que no detiene la radicación y que blinda el contrato frente a una eventual observación de los organismos de control [verificar].</w:t>
      </w:r>
    </w:p>
    <w:p>
      <w:pPr>
        <w:pStyle w:val="BodyText"/>
      </w:pPr>
      <w:r>
        <w:t xml:space="preserve">14.5. Selección del subcontratista</w:t>
      </w:r>
    </w:p>
    <w:p>
      <w:pPr>
        <w:pStyle w:val="BodyText"/>
      </w:pPr>
      <w:r>
        <w:t xml:space="preserve">Regla de independencia. La firma subcontratada debe ser un tercero enteramente independiente. No puede tener socios, representantes legales, miembros de junta o revisores fiscales comunes con la Corporación, ni vínculos de parentesco con ellos. La contratación de una firma vinculada convertiría una decisión de eficiencia en un conflicto de interés y en una posible inhabilidad, y es el riesgo que con mayor probabilidad haría inviable todo el contrato. La regla pesa más ahora que el subcontrato se paga con recursos públicos: la selección y sus soportes deben poder exhibirse ante la supervisión y ante los organismos de control sin reserva alguna.</w:t>
      </w:r>
    </w:p>
    <w:p>
      <w:pPr>
        <w:pStyle w:val="BodyText"/>
      </w:pPr>
      <w:r>
        <w:t xml:space="preserve">La selección se adelanta conforme al manual de contratación de la Corporación, con invitación a por lo menos tres firmas, evaluación documentada en acta y publicación del resultado.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Tipo</w:t>
            </w:r>
          </w:p>
        </w:tc>
        <w:tc>
          <w:tcPr/>
          <w:p>
            <w:pPr>
              <w:pStyle w:val="Compact"/>
              <w:jc w:val="left"/>
            </w:pPr>
            <w:r>
              <w:t xml:space="preserve">Criterio</w:t>
            </w:r>
          </w:p>
        </w:tc>
      </w:tr>
      <w:tr>
        <w:tc>
          <w:tcPr/>
          <w:p>
            <w:pPr>
              <w:pStyle w:val="Compact"/>
              <w:jc w:val="left"/>
            </w:pPr>
            <w:r>
              <w:t xml:space="preserve">Habilitante</w:t>
            </w:r>
          </w:p>
        </w:tc>
        <w:tc>
          <w:tcPr/>
          <w:p>
            <w:pPr>
              <w:pStyle w:val="Compact"/>
              <w:jc w:val="left"/>
            </w:pPr>
            <w:r>
              <w:t xml:space="preserve">Firma legalmente constituida con no menos de cinco años de existencia</w:t>
            </w:r>
          </w:p>
        </w:tc>
      </w:tr>
      <w:tr>
        <w:tc>
          <w:tcPr/>
          <w:p>
            <w:pPr>
              <w:pStyle w:val="Compact"/>
              <w:jc w:val="left"/>
            </w:pPr>
            <w:r>
              <w:t xml:space="preserve">Habilitante</w:t>
            </w:r>
          </w:p>
        </w:tc>
        <w:tc>
          <w:tcPr/>
          <w:p>
            <w:pPr>
              <w:pStyle w:val="Compact"/>
              <w:jc w:val="left"/>
            </w:pPr>
            <w:r>
              <w:t xml:space="preserve">Equipo mínimo de cinco abogados con tarjeta profesional vigente</w:t>
            </w:r>
          </w:p>
        </w:tc>
      </w:tr>
      <w:tr>
        <w:tc>
          <w:tcPr/>
          <w:p>
            <w:pPr>
              <w:pStyle w:val="Compact"/>
              <w:jc w:val="left"/>
            </w:pPr>
            <w:r>
              <w:t xml:space="preserve">Habilitante</w:t>
            </w:r>
          </w:p>
        </w:tc>
        <w:tc>
          <w:tcPr/>
          <w:p>
            <w:pPr>
              <w:pStyle w:val="Compact"/>
              <w:jc w:val="left"/>
            </w:pPr>
            <w:r>
              <w:t xml:space="preserve">Experiencia acreditada en derecho constitucional, penal, contencioso administrativo y Sistema Interamericano de Derechos Humanos</w:t>
            </w:r>
          </w:p>
        </w:tc>
      </w:tr>
      <w:tr>
        <w:tc>
          <w:tcPr/>
          <w:p>
            <w:pPr>
              <w:pStyle w:val="Compact"/>
              <w:jc w:val="left"/>
            </w:pPr>
            <w:r>
              <w:t xml:space="preserve">Habilitante</w:t>
            </w:r>
          </w:p>
        </w:tc>
        <w:tc>
          <w:tcPr/>
          <w:p>
            <w:pPr>
              <w:pStyle w:val="Compact"/>
              <w:jc w:val="left"/>
            </w:pPr>
            <w:r>
              <w:t xml:space="preserve">Al menos un caso tramitado ante la Comisión Interamericana de Derechos Humanos</w:t>
            </w:r>
          </w:p>
        </w:tc>
      </w:tr>
      <w:tr>
        <w:tc>
          <w:tcPr/>
          <w:p>
            <w:pPr>
              <w:pStyle w:val="Compact"/>
              <w:jc w:val="left"/>
            </w:pPr>
            <w:r>
              <w:t xml:space="preserve">Habilitante</w:t>
            </w:r>
          </w:p>
        </w:tc>
        <w:tc>
          <w:tcPr/>
          <w:p>
            <w:pPr>
              <w:pStyle w:val="Compact"/>
              <w:jc w:val="left"/>
            </w:pPr>
            <w:r>
              <w:t xml:space="preserve">Al menos tres casos de defensa de personas defensoras de derechos humanos o periodistas</w:t>
            </w:r>
          </w:p>
        </w:tc>
      </w:tr>
      <w:tr>
        <w:tc>
          <w:tcPr/>
          <w:p>
            <w:pPr>
              <w:pStyle w:val="Compact"/>
              <w:jc w:val="left"/>
            </w:pPr>
            <w:r>
              <w:t xml:space="preserve">Habilitante</w:t>
            </w:r>
          </w:p>
        </w:tc>
        <w:tc>
          <w:tcPr/>
          <w:p>
            <w:pPr>
              <w:pStyle w:val="Compact"/>
              <w:jc w:val="left"/>
            </w:pPr>
            <w:r>
              <w:t xml:space="preserve">Certificado de antecedentes disciplinarios sin sanciones vigentes</w:t>
            </w:r>
          </w:p>
        </w:tc>
      </w:tr>
      <w:tr>
        <w:tc>
          <w:tcPr/>
          <w:p>
            <w:pPr>
              <w:pStyle w:val="Compact"/>
              <w:jc w:val="left"/>
            </w:pPr>
            <w:r>
              <w:t xml:space="preserve">Habilitante</w:t>
            </w:r>
          </w:p>
        </w:tc>
        <w:tc>
          <w:tcPr/>
          <w:p>
            <w:pPr>
              <w:pStyle w:val="Compact"/>
              <w:jc w:val="left"/>
            </w:pPr>
            <w:r>
              <w:t xml:space="preserve">Declaración de independencia respecto de la Corporación y de ausencia de inhabilidades e incompatibilidades</w:t>
            </w:r>
          </w:p>
        </w:tc>
      </w:tr>
      <w:tr>
        <w:tc>
          <w:tcPr/>
          <w:p>
            <w:pPr>
              <w:pStyle w:val="Compact"/>
              <w:jc w:val="left"/>
            </w:pPr>
            <w:r>
              <w:t xml:space="preserve">Ponderable</w:t>
            </w:r>
          </w:p>
        </w:tc>
        <w:tc>
          <w:tcPr/>
          <w:p>
            <w:pPr>
              <w:pStyle w:val="Compact"/>
              <w:jc w:val="left"/>
            </w:pPr>
            <w:r>
              <w:t xml:space="preserve">Número de casos tramitados ante el Sistema Interamericano y medidas cautelares efectivamente otorgadas</w:t>
            </w:r>
          </w:p>
        </w:tc>
      </w:tr>
      <w:tr>
        <w:tc>
          <w:tcPr/>
          <w:p>
            <w:pPr>
              <w:pStyle w:val="Compact"/>
              <w:jc w:val="left"/>
            </w:pPr>
            <w:r>
              <w:t xml:space="preserve">Ponderable</w:t>
            </w:r>
          </w:p>
        </w:tc>
        <w:tc>
          <w:tcPr/>
          <w:p>
            <w:pPr>
              <w:pStyle w:val="Compact"/>
              <w:jc w:val="left"/>
            </w:pPr>
            <w:r>
              <w:t xml:space="preserve">Experiencia previa en Norte de Santander y conocimiento del contexto del Catatumbo</w:t>
            </w:r>
          </w:p>
        </w:tc>
      </w:tr>
      <w:tr>
        <w:tc>
          <w:tcPr/>
          <w:p>
            <w:pPr>
              <w:pStyle w:val="Compact"/>
              <w:jc w:val="left"/>
            </w:pPr>
            <w:r>
              <w:t xml:space="preserve">Ponderable</w:t>
            </w:r>
          </w:p>
        </w:tc>
        <w:tc>
          <w:tcPr/>
          <w:p>
            <w:pPr>
              <w:pStyle w:val="Compact"/>
              <w:jc w:val="left"/>
            </w:pPr>
            <w:r>
              <w:t xml:space="preserve">Formación de posgrado del equipo propuesto y propuesta metodológica</w:t>
            </w:r>
          </w:p>
        </w:tc>
      </w:tr>
    </w:tbl>
    <w:p>
      <w:pPr>
        <w:pStyle w:val="BodyText"/>
      </w:pPr>
      <w:r>
        <w:t xml:space="preserve">14.6. Cláusulas mínimas del subcontrato</w:t>
      </w:r>
    </w:p>
    <w:p>
      <w:pPr>
        <w:pStyle w:val="BodyText"/>
      </w:pPr>
      <w:r>
        <w:t xml:space="preserve">Contrato civil de prestación de servicios que no genera relación laboral; objeto delimitado a las actuaciones del numeral 14.1; obligaciones y entregables definidos; pago contra entregables aprobados por la coordinación jurídica; plazo coincidente con el del contrato principal; confidencialidad conforme a la Ley 1581 de 2012; titularidad de los productos jurídicos en cabeza de la Corporación y de las personas beneficiarias; garantías de cumplimiento y calidad; prohibición de cesión y de subcontratación; supervisión por la coordinación jurídica de la Corporación; y cláusula de terminación por incumplimiento. Debe pactarse además la continuidad de la representación: los procesos iniciados no pueden quedar desasistidos al terminar el contrato, y la firma se obliga a entregar los expedientes y a facilitar la sustitución de poderes.</w:t>
      </w:r>
    </w:p>
    <w:bookmarkEnd w:id="36"/>
    <w:bookmarkEnd w:id="37"/>
    <w:bookmarkStart w:id="40" w:name="X166933c5ec16d49875882efa0b44901b4f69106"/>
    <w:p>
      <w:pPr>
        <w:pStyle w:val="Heading1"/>
      </w:pPr>
      <w:r>
        <w:t xml:space="preserve">CAPÍTULO IV. RED DEPARTAMENTAL DE DEFENSORES</w:t>
      </w:r>
    </w:p>
    <w:bookmarkStart w:id="38" w:name="diseño-de-la-red"/>
    <w:p>
      <w:pPr>
        <w:pStyle w:val="Heading2"/>
      </w:pPr>
      <w:r>
        <w:t xml:space="preserve">15. Diseño de la red</w:t>
      </w:r>
    </w:p>
    <w:p>
      <w:pPr>
        <w:pStyle w:val="FirstParagraph"/>
      </w:pPr>
      <w:r>
        <w:t xml:space="preserve">La red departamental de defensores es el cuarto componente del proyecto y su principal activo de sostenibilidad. Federa organizaciones preexistentes (sociales, comunales, campesinas, sindicales, estudiantiles, de periodistas y de oposición política) en nodos correspondientes a las seis subregiones del departamento, en lugar de crear estructuras nuevas. La red de corresponsales municipales del observatorio se integra a ella como su función de documentación: los cuarenta corresponsales son a la vez la fuente territorial del sistema de información y el tejido básico de la red.</w:t>
      </w:r>
    </w:p>
    <w:p>
      <w:pPr>
        <w:pStyle w:val="BodyText"/>
      </w:pPr>
      <w:r>
        <w:t xml:space="preserve">Elementos de diseño:</w:t>
      </w:r>
    </w:p>
    <w:p>
      <w:pPr>
        <w:pStyle w:val="BodyText"/>
      </w:pPr>
      <w:r>
        <w:t xml:space="preserve">Instalación en acto público. La red se constituye en un solo acto departamental en Cúcuta, con declaración de instalación, agenda propia y vocerías subregionales, siguiendo el formato de la Mesa Humanitaria y de Paz de Antioquia (2022), que demostró que una red departamental funcional puede instalarse en un acto único cuando federa organizaciones preexistentes.</w:t>
      </w:r>
    </w:p>
    <w:p>
      <w:pPr>
        <w:pStyle w:val="BodyText"/>
      </w:pPr>
      <w:r>
        <w:t xml:space="preserve">Protocolo de alerta y reacción rápida entre pares. Adaptación del modelo del Natalia Project de Civil Rights Defenders, que ya opera en Colombia: canal seguro de alerta entre los integrantes, protocolo individualizado de respuesta, directorio de contactos institucionales de emergencia (UNP, Defensoría, personerías, Policía) y activación de la vocería colectiva cuando un integrante es agredido. No sustituye la ruta estatal de protección: la activa y la vigila.</w:t>
      </w:r>
    </w:p>
    <w:p>
      <w:pPr>
        <w:pStyle w:val="BodyText"/>
      </w:pPr>
      <w:r>
        <w:t xml:space="preserve">Guía de autoprotección. Adaptación al contexto de Norte de Santander de la guía de protección y autoprotección de la Corporación Jurídica Libertad y la Fundación Sumapaz, entregada en formato impreso y digital, con talleres cortos en los encuentros subregionales.</w:t>
      </w:r>
    </w:p>
    <w:p>
      <w:pPr>
        <w:pStyle w:val="BodyText"/>
      </w:pPr>
      <w:r>
        <w:t xml:space="preserve">Encuentros subregionales y audiencia de balance. Para no duplicar costos, los encuentros subregionales de la red se realizan en las cinco jornadas territoriales de documentación del producto 2, que cumplen doble función, y la audiencia departamental de balance se realiza en la audiencia pública de presentación de resultados del producto 6, en diciembre, en la que la red recibe el informe del observatorio y el estado de las actuaciones jurídicas. La red tiene un acto propio de instalación en Cúcuta.</w:t>
      </w:r>
    </w:p>
    <w:p>
      <w:pPr>
        <w:pStyle w:val="BodyText"/>
      </w:pPr>
      <w:r>
        <w:t xml:space="preserve">Articulación institucional. La red se articula, sin subordinarse ni duplicar, con la Mesa Territorial de Garantías (meta 761), el Comité Departamental de Derechos Humanos y DIH, el Subcomité de Prevención y Protección (meta 753) y el Programa Integral de Garantías para Mujeres Lideresas y Defensoras, en cuyo plan de acción 2024-2028 Norte de Santander está focalizado, lo que permite pedir concurrencia del Ministerio del Interior y de ONU Mujeres.</w:t>
      </w:r>
    </w:p>
    <w:p>
      <w:pPr>
        <w:pStyle w:val="BodyText"/>
      </w:pPr>
      <w:r>
        <w:t xml:space="preserve">Gobernanza y sostenibilidad. La secretaría técnica queda en cabeza de la sociedad civil (la Corporación durante la fase, con tránsito pactado a las organizaciones integrantes), siguiendo la lección del Proceso Social de Garantías de Antioquia: las redes con secretaría técnica en la sociedad civil sobreviven a los cambios de gobierno; los espacios dependientes de la voluntad política se apagan. La red es además destinataria natural de una solicitud de medidas cautelares colectivas ante la CIDH, lo que enlaza este componente con el de litigio.</w:t>
      </w:r>
    </w:p>
    <w:bookmarkEnd w:id="38"/>
    <w:bookmarkStart w:id="39" w:name="referentes-aplicados"/>
    <w:p>
      <w:pPr>
        <w:pStyle w:val="Heading2"/>
      </w:pPr>
      <w:r>
        <w:t xml:space="preserve">16. Referentes aplicados</w:t>
      </w:r>
    </w:p>
    <w:p>
      <w:pPr>
        <w:pStyle w:val="FirstParagraph"/>
      </w:pPr>
      <w:r>
        <w:t xml:space="preserve">El diseño del proyecto adapta, con ajuste al contexto departamental, tres fuentes: la investigación sobre los estándares nórdicos de protección y las experiencias territoriales de Bogotá y de Medellín y Antioquia.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Referente</w:t>
            </w:r>
          </w:p>
        </w:tc>
        <w:tc>
          <w:tcPr/>
          <w:p>
            <w:pPr>
              <w:pStyle w:val="Compact"/>
              <w:jc w:val="left"/>
            </w:pPr>
            <w:r>
              <w:t xml:space="preserve">Qué se adapta en este proyecto</w:t>
            </w:r>
          </w:p>
        </w:tc>
      </w:tr>
      <w:tr>
        <w:tc>
          <w:tcPr/>
          <w:p>
            <w:pPr>
              <w:pStyle w:val="Compact"/>
              <w:jc w:val="left"/>
            </w:pPr>
            <w:r>
              <w:t xml:space="preserve">Encuestas oficiales de medición del riesgo (Brå-PTU, Suecia; Kuntaliitto, Finlandia)</w:t>
            </w:r>
          </w:p>
        </w:tc>
        <w:tc>
          <w:tcPr/>
          <w:p>
            <w:pPr>
              <w:pStyle w:val="Compact"/>
              <w:jc w:val="left"/>
            </w:pPr>
            <w:r>
              <w:t xml:space="preserve">La institucionalización de la evidencia como base de la política de protección: el observatorio, el índice departamental de riesgo y la serie anual repetible cumplen esa función; el módulo piloto de percepción de amenaza a liderazgos queda previsto como desarrollo de la Fase 2 (numeral 24)</w:t>
            </w:r>
          </w:p>
        </w:tc>
      </w:tr>
      <w:tr>
        <w:tc>
          <w:tcPr/>
          <w:p>
            <w:pPr>
              <w:pStyle w:val="Compact"/>
              <w:jc w:val="left"/>
            </w:pPr>
            <w:r>
              <w:t xml:space="preserve">Natalia Project (Civil Rights Defenders, Suecia)</w:t>
            </w:r>
          </w:p>
        </w:tc>
        <w:tc>
          <w:tcPr/>
          <w:p>
            <w:pPr>
              <w:pStyle w:val="Compact"/>
              <w:jc w:val="left"/>
            </w:pPr>
            <w:r>
              <w:t xml:space="preserve">Protocolo de alerta y reacción rápida entre pares de la red de defensores; gestión de alianza con Civil Rights Defenders y ProtectDefenders.eu para los ciclos siguientes</w:t>
            </w:r>
          </w:p>
        </w:tc>
      </w:tr>
      <w:tr>
        <w:tc>
          <w:tcPr/>
          <w:p>
            <w:pPr>
              <w:pStyle w:val="Compact"/>
              <w:jc w:val="left"/>
            </w:pPr>
            <w:r>
              <w:t xml:space="preserve">Agravantes penales nórdicos por delitos contra periodistas y defensores</w:t>
            </w:r>
          </w:p>
        </w:tc>
        <w:tc>
          <w:tcPr/>
          <w:p>
            <w:pPr>
              <w:pStyle w:val="Compact"/>
              <w:jc w:val="left"/>
            </w:pPr>
            <w:r>
              <w:t xml:space="preserve">Uso sistemático del artículo 188E del Código Penal en toda denuncia, con la Directiva 002 de 2017; el equivalente colombiano existe y se subutiliza</w:t>
            </w:r>
          </w:p>
        </w:tc>
      </w:tr>
      <w:tr>
        <w:tc>
          <w:tcPr/>
          <w:p>
            <w:pPr>
              <w:pStyle w:val="Compact"/>
              <w:jc w:val="left"/>
            </w:pPr>
            <w:r>
              <w:t xml:space="preserve">Observatorio de Conflictividad Social y DDHH (Bogotá) y Observatorio Sumapaz/CJL (Antioquia)</w:t>
            </w:r>
          </w:p>
        </w:tc>
        <w:tc>
          <w:tcPr/>
          <w:p>
            <w:pPr>
              <w:pStyle w:val="Compact"/>
              <w:jc w:val="left"/>
            </w:pPr>
            <w:r>
              <w:t xml:space="preserve">Metodología del informe y de los boletines: categorías estandarizadas, desagregación municipal y por sector y género, tablero público y seguimiento a la respuesta institucional a las alertas tempranas</w:t>
            </w:r>
          </w:p>
        </w:tc>
      </w:tr>
      <w:tr>
        <w:tc>
          <w:tcPr/>
          <w:p>
            <w:pPr>
              <w:pStyle w:val="Compact"/>
              <w:jc w:val="left"/>
            </w:pPr>
            <w:r>
              <w:t xml:space="preserve">Ruta de protección de Medellín y ruta distrital de Bogotá</w:t>
            </w:r>
          </w:p>
        </w:tc>
        <w:tc>
          <w:tcPr/>
          <w:p>
            <w:pPr>
              <w:pStyle w:val="Compact"/>
              <w:jc w:val="left"/>
            </w:pPr>
            <w:r>
              <w:t xml:space="preserve">Ficha única de recepción y caracterización de casos, canal único de entrada y gestión activa ante la UNP; precedente de que un ente territorial puede otorgar medidas complementarias sin invadir competencias de la UNP</w:t>
            </w:r>
          </w:p>
        </w:tc>
      </w:tr>
      <w:tr>
        <w:tc>
          <w:tcPr/>
          <w:p>
            <w:pPr>
              <w:pStyle w:val="Compact"/>
              <w:jc w:val="left"/>
            </w:pPr>
            <w:r>
              <w:t xml:space="preserve">SATMED (Medellín)</w:t>
            </w:r>
          </w:p>
        </w:tc>
        <w:tc>
          <w:tcPr/>
          <w:p>
            <w:pPr>
              <w:pStyle w:val="Compact"/>
              <w:jc w:val="left"/>
            </w:pPr>
            <w:r>
              <w:t xml:space="preserve">Canal ciudadano de reporte (WhatsApp y formulario web) conectado al observatorio, con protocolo de verificación en 48 a 72 horas</w:t>
            </w:r>
          </w:p>
        </w:tc>
      </w:tr>
      <w:tr>
        <w:tc>
          <w:tcPr/>
          <w:p>
            <w:pPr>
              <w:pStyle w:val="Compact"/>
              <w:jc w:val="left"/>
            </w:pPr>
            <w:r>
              <w:t xml:space="preserve">Litigio de la Corporación Jurídica Libertad y el GIDH (caso Yarce y otras vs. Colombia, Corte IDH 2016)</w:t>
            </w:r>
          </w:p>
        </w:tc>
        <w:tc>
          <w:tcPr/>
          <w:p>
            <w:pPr>
              <w:pStyle w:val="Compact"/>
              <w:jc w:val="left"/>
            </w:pPr>
            <w:r>
              <w:t xml:space="preserve">La secuencia validada del componente de litigio: caso emblemático, denuncia interna documentada, medida cautelar ante la CIDH y litigio de fondo, con los informes de contexto propios como prueba</w:t>
            </w:r>
          </w:p>
        </w:tc>
      </w:tr>
      <w:tr>
        <w:tc>
          <w:tcPr/>
          <w:p>
            <w:pPr>
              <w:pStyle w:val="Compact"/>
              <w:jc w:val="left"/>
            </w:pPr>
            <w:r>
              <w:t xml:space="preserve">Mesa Humanitaria y de Paz de Antioquia y Proceso Social de Garantías</w:t>
            </w:r>
          </w:p>
        </w:tc>
        <w:tc>
          <w:tcPr/>
          <w:p>
            <w:pPr>
              <w:pStyle w:val="Compact"/>
              <w:jc w:val="left"/>
            </w:pPr>
            <w:r>
              <w:t xml:space="preserve">Formato de instalación de la red en acto único y gobernanza con secretaría técnica en la sociedad civil</w:t>
            </w:r>
          </w:p>
        </w:tc>
      </w:tr>
    </w:tbl>
    <w:p>
      <w:pPr>
        <w:pStyle w:val="BodyText"/>
      </w:pPr>
      <w:r>
        <w:t xml:space="preserve">La advertencia de transferibilidad de la investigación nórdica se asume: esos mecanismos operan en contextos de alta capacidad estatal; por eso el proyecto prioriza lo que la sociedad civil puede operar directamente (evidencia, litigio, red) y trata la protección física estatal como objeto de exigencia jurídica, no de sustitución.</w:t>
      </w:r>
    </w:p>
    <w:bookmarkEnd w:id="39"/>
    <w:bookmarkEnd w:id="40"/>
    <w:bookmarkStart w:id="48" w:name="X7ae68757d08c93366b3b5353202d727029c6135"/>
    <w:p>
      <w:pPr>
        <w:pStyle w:val="Heading1"/>
      </w:pPr>
      <w:r>
        <w:t xml:space="preserve">CAPÍTULO V. CADENA DE VALOR, PRESUPUESTO Y PROGRAMACIÓN</w:t>
      </w:r>
    </w:p>
    <w:bookmarkStart w:id="41" w:name="cadena-de-valor"/>
    <w:p>
      <w:pPr>
        <w:pStyle w:val="Heading2"/>
      </w:pPr>
      <w:r>
        <w:t xml:space="preserve">17. Cadena de valor</w:t>
      </w:r>
    </w:p>
    <w:p>
      <w:pPr>
        <w:pStyle w:val="FirstParagraph"/>
      </w:pPr>
      <w:r>
        <w:t xml:space="preserve">Producto 1 - 4502016: Servicio de información implementado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N.º</w:t>
            </w:r>
          </w:p>
        </w:tc>
        <w:tc>
          <w:tcPr/>
          <w:p>
            <w:pPr>
              <w:pStyle w:val="Compact"/>
              <w:jc w:val="left"/>
            </w:pPr>
            <w:r>
              <w:t xml:space="preserve">Actividad</w:t>
            </w:r>
          </w:p>
        </w:tc>
        <w:tc>
          <w:tcPr/>
          <w:p>
            <w:pPr>
              <w:pStyle w:val="Compact"/>
              <w:jc w:val="left"/>
            </w:pPr>
            <w:r>
              <w:t xml:space="preserve">Costo</w:t>
            </w:r>
          </w:p>
        </w:tc>
        <w:tc>
          <w:tcPr/>
          <w:p>
            <w:pPr>
              <w:pStyle w:val="Compact"/>
              <w:jc w:val="left"/>
            </w:pPr>
            <w:r>
              <w:t xml:space="preserve">Fuente</w:t>
            </w:r>
          </w:p>
        </w:tc>
      </w:tr>
      <w:tr>
        <w:tc>
          <w:tcPr/>
          <w:p>
            <w:pPr>
              <w:pStyle w:val="Compact"/>
              <w:jc w:val="left"/>
            </w:pPr>
            <w:r>
              <w:t xml:space="preserve">1.1</w:t>
            </w:r>
          </w:p>
        </w:tc>
        <w:tc>
          <w:tcPr/>
          <w:p>
            <w:pPr>
              <w:pStyle w:val="Compact"/>
              <w:jc w:val="left"/>
            </w:pPr>
            <w:r>
              <w:t xml:space="preserve">Diseño del modelo de datos, tipologías de hechos victimizantes y protocolo de triangulación, deduplicación y escala de confiabilidad (ingeniería de datos y seguridad de la información)</w:t>
            </w:r>
          </w:p>
        </w:tc>
        <w:tc>
          <w:tcPr/>
          <w:p>
            <w:pPr>
              <w:pStyle w:val="Compact"/>
              <w:jc w:val="left"/>
            </w:pPr>
            <w:r>
              <w:t xml:space="preserve">$10.000.000</w:t>
            </w:r>
          </w:p>
        </w:tc>
        <w:tc>
          <w:tcPr/>
          <w:p>
            <w:pPr>
              <w:pStyle w:val="Compact"/>
              <w:jc w:val="left"/>
            </w:pPr>
            <w:r>
              <w:t xml:space="preserve">Corporación</w:t>
            </w:r>
          </w:p>
        </w:tc>
      </w:tr>
      <w:tr>
        <w:tc>
          <w:tcPr/>
          <w:p>
            <w:pPr>
              <w:pStyle w:val="Compact"/>
              <w:jc w:val="left"/>
            </w:pPr>
            <w:r>
              <w:t xml:space="preserve">1.2</w:t>
            </w:r>
          </w:p>
        </w:tc>
        <w:tc>
          <w:tcPr/>
          <w:p>
            <w:pPr>
              <w:pStyle w:val="Compact"/>
              <w:jc w:val="left"/>
            </w:pPr>
            <w:r>
              <w:t xml:space="preserve">Implementación de la plataforma del observatorio: servidor cifrado, base de datos, georreferenciación municipal, visualización y respaldo</w:t>
            </w:r>
          </w:p>
        </w:tc>
        <w:tc>
          <w:tcPr/>
          <w:p>
            <w:pPr>
              <w:pStyle w:val="Compact"/>
              <w:jc w:val="left"/>
            </w:pPr>
            <w:r>
              <w:t xml:space="preserve">$10.000.000</w:t>
            </w:r>
          </w:p>
        </w:tc>
        <w:tc>
          <w:tcPr/>
          <w:p>
            <w:pPr>
              <w:pStyle w:val="Compact"/>
              <w:jc w:val="left"/>
            </w:pPr>
            <w:r>
              <w:t xml:space="preserve">Corporación</w:t>
            </w:r>
          </w:p>
        </w:tc>
      </w:tr>
      <w:tr>
        <w:tc>
          <w:tcPr/>
          <w:p>
            <w:pPr>
              <w:pStyle w:val="Compact"/>
              <w:jc w:val="left"/>
            </w:pPr>
            <w:r>
              <w:t xml:space="preserve">1.3</w:t>
            </w:r>
          </w:p>
        </w:tc>
        <w:tc>
          <w:tcPr/>
          <w:p>
            <w:pPr>
              <w:pStyle w:val="Compact"/>
              <w:jc w:val="left"/>
            </w:pPr>
            <w:r>
              <w:t xml:space="preserve">Alquiler de equipos portátiles cifrados y herramientas de seguridad digital</w:t>
            </w:r>
          </w:p>
        </w:tc>
        <w:tc>
          <w:tcPr/>
          <w:p>
            <w:pPr>
              <w:pStyle w:val="Compact"/>
              <w:jc w:val="left"/>
            </w:pPr>
            <w:r>
              <w:t xml:space="preserve">$8.000.000</w:t>
            </w:r>
          </w:p>
        </w:tc>
        <w:tc>
          <w:tcPr/>
          <w:p>
            <w:pPr>
              <w:pStyle w:val="Compact"/>
              <w:jc w:val="left"/>
            </w:pPr>
            <w:r>
              <w:t xml:space="preserve">Corporación</w:t>
            </w:r>
          </w:p>
        </w:tc>
      </w:tr>
      <w:tr>
        <w:tc>
          <w:tcPr/>
          <w:p>
            <w:pPr>
              <w:pStyle w:val="Compact"/>
            </w:pPr>
          </w:p>
        </w:tc>
        <w:tc>
          <w:tcPr/>
          <w:p>
            <w:pPr>
              <w:pStyle w:val="Compact"/>
              <w:jc w:val="left"/>
            </w:pPr>
            <w:r>
              <w:t xml:space="preserve">Subtotal Producto 1</w:t>
            </w:r>
          </w:p>
        </w:tc>
        <w:tc>
          <w:tcPr/>
          <w:p>
            <w:pPr>
              <w:pStyle w:val="Compact"/>
              <w:jc w:val="left"/>
            </w:pPr>
            <w:r>
              <w:t xml:space="preserve">$28.000.000</w:t>
            </w:r>
          </w:p>
        </w:tc>
        <w:tc>
          <w:tcPr/>
          <w:p>
            <w:pPr>
              <w:pStyle w:val="Compact"/>
            </w:pPr>
          </w:p>
        </w:tc>
      </w:tr>
    </w:tbl>
    <w:p>
      <w:pPr>
        <w:pStyle w:val="BodyText"/>
      </w:pPr>
      <w:r>
        <w:t xml:space="preserve">Producto 2 - 4502030: Documentos de investigación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N.º</w:t>
            </w:r>
          </w:p>
        </w:tc>
        <w:tc>
          <w:tcPr/>
          <w:p>
            <w:pPr>
              <w:pStyle w:val="Compact"/>
              <w:jc w:val="left"/>
            </w:pPr>
            <w:r>
              <w:t xml:space="preserve">Actividad</w:t>
            </w:r>
          </w:p>
        </w:tc>
        <w:tc>
          <w:tcPr/>
          <w:p>
            <w:pPr>
              <w:pStyle w:val="Compact"/>
              <w:jc w:val="left"/>
            </w:pPr>
            <w:r>
              <w:t xml:space="preserve">Costo</w:t>
            </w:r>
          </w:p>
        </w:tc>
        <w:tc>
          <w:tcPr/>
          <w:p>
            <w:pPr>
              <w:pStyle w:val="Compact"/>
              <w:jc w:val="left"/>
            </w:pPr>
            <w:r>
              <w:t xml:space="preserve">Fuente</w:t>
            </w:r>
          </w:p>
        </w:tc>
      </w:tr>
      <w:tr>
        <w:tc>
          <w:tcPr/>
          <w:p>
            <w:pPr>
              <w:pStyle w:val="Compact"/>
              <w:jc w:val="left"/>
            </w:pPr>
            <w:r>
              <w:t xml:space="preserve">2.1</w:t>
            </w:r>
          </w:p>
        </w:tc>
        <w:tc>
          <w:tcPr/>
          <w:p>
            <w:pPr>
              <w:pStyle w:val="Compact"/>
              <w:jc w:val="left"/>
            </w:pPr>
            <w:r>
              <w:t xml:space="preserve">Coordinación del observatorio, investigación documental y análisis de dinámicas de violencia</w:t>
            </w:r>
          </w:p>
        </w:tc>
        <w:tc>
          <w:tcPr/>
          <w:p>
            <w:pPr>
              <w:pStyle w:val="Compact"/>
              <w:jc w:val="left"/>
            </w:pPr>
            <w:r>
              <w:t xml:space="preserve">$13.750.000</w:t>
            </w:r>
          </w:p>
        </w:tc>
        <w:tc>
          <w:tcPr/>
          <w:p>
            <w:pPr>
              <w:pStyle w:val="Compact"/>
              <w:jc w:val="left"/>
            </w:pPr>
            <w:r>
              <w:t xml:space="preserve">Corporación</w:t>
            </w:r>
          </w:p>
        </w:tc>
      </w:tr>
      <w:tr>
        <w:tc>
          <w:tcPr/>
          <w:p>
            <w:pPr>
              <w:pStyle w:val="Compact"/>
              <w:jc w:val="left"/>
            </w:pPr>
            <w:r>
              <w:t xml:space="preserve">2.2</w:t>
            </w:r>
          </w:p>
        </w:tc>
        <w:tc>
          <w:tcPr/>
          <w:p>
            <w:pPr>
              <w:pStyle w:val="Compact"/>
              <w:jc w:val="left"/>
            </w:pPr>
            <w:r>
              <w:t xml:space="preserve">Recolección territorial: dos enlaces subregionales en Catatumbo y Ocaña</w:t>
            </w:r>
          </w:p>
        </w:tc>
        <w:tc>
          <w:tcPr/>
          <w:p>
            <w:pPr>
              <w:pStyle w:val="Compact"/>
              <w:jc w:val="left"/>
            </w:pPr>
            <w:r>
              <w:t xml:space="preserve">$17.500.000</w:t>
            </w:r>
          </w:p>
        </w:tc>
        <w:tc>
          <w:tcPr/>
          <w:p>
            <w:pPr>
              <w:pStyle w:val="Compact"/>
              <w:jc w:val="left"/>
            </w:pPr>
            <w:r>
              <w:t xml:space="preserve">Corporación</w:t>
            </w:r>
          </w:p>
        </w:tc>
      </w:tr>
      <w:tr>
        <w:tc>
          <w:tcPr/>
          <w:p>
            <w:pPr>
              <w:pStyle w:val="Compact"/>
              <w:jc w:val="left"/>
            </w:pPr>
            <w:r>
              <w:t xml:space="preserve">2.3</w:t>
            </w:r>
          </w:p>
        </w:tc>
        <w:tc>
          <w:tcPr/>
          <w:p>
            <w:pPr>
              <w:pStyle w:val="Compact"/>
              <w:jc w:val="left"/>
            </w:pPr>
            <w:r>
              <w:t xml:space="preserve">Cinco jornadas de documentación territorial en municipios priorizados, que cumplen a la vez la función de encuentros subregionales de la red de defensores (numeral 15)</w:t>
            </w:r>
          </w:p>
        </w:tc>
        <w:tc>
          <w:tcPr/>
          <w:p>
            <w:pPr>
              <w:pStyle w:val="Compact"/>
              <w:jc w:val="left"/>
            </w:pPr>
            <w:r>
              <w:t xml:space="preserve">$9.000.000</w:t>
            </w:r>
          </w:p>
        </w:tc>
        <w:tc>
          <w:tcPr/>
          <w:p>
            <w:pPr>
              <w:pStyle w:val="Compact"/>
              <w:jc w:val="left"/>
            </w:pPr>
            <w:r>
              <w:t xml:space="preserve">Corporación</w:t>
            </w:r>
          </w:p>
        </w:tc>
      </w:tr>
      <w:tr>
        <w:tc>
          <w:tcPr/>
          <w:p>
            <w:pPr>
              <w:pStyle w:val="Compact"/>
              <w:jc w:val="left"/>
            </w:pPr>
            <w:r>
              <w:t xml:space="preserve">2.4</w:t>
            </w:r>
          </w:p>
        </w:tc>
        <w:tc>
          <w:tcPr/>
          <w:p>
            <w:pPr>
              <w:pStyle w:val="Compact"/>
              <w:jc w:val="left"/>
            </w:pPr>
            <w:r>
              <w:t xml:space="preserve">Formulación, radicación y seguimiento de derechos de petición y solicitudes de información pública; gestión documental y notificaciones</w:t>
            </w:r>
          </w:p>
        </w:tc>
        <w:tc>
          <w:tcPr/>
          <w:p>
            <w:pPr>
              <w:pStyle w:val="Compact"/>
              <w:jc w:val="left"/>
            </w:pPr>
            <w:r>
              <w:t xml:space="preserve">$3.000.000</w:t>
            </w:r>
          </w:p>
        </w:tc>
        <w:tc>
          <w:tcPr/>
          <w:p>
            <w:pPr>
              <w:pStyle w:val="Compact"/>
              <w:jc w:val="left"/>
            </w:pPr>
            <w:r>
              <w:t xml:space="preserve">Corporación</w:t>
            </w:r>
          </w:p>
        </w:tc>
      </w:tr>
      <w:tr>
        <w:tc>
          <w:tcPr/>
          <w:p>
            <w:pPr>
              <w:pStyle w:val="Compact"/>
              <w:jc w:val="left"/>
            </w:pPr>
            <w:r>
              <w:t xml:space="preserve">2.5</w:t>
            </w:r>
          </w:p>
        </w:tc>
        <w:tc>
          <w:tcPr/>
          <w:p>
            <w:pPr>
              <w:pStyle w:val="Compact"/>
              <w:jc w:val="left"/>
            </w:pPr>
            <w:r>
              <w:t xml:space="preserve">Conformación y formación de la red de corresponsales de los 40 municipios</w:t>
            </w:r>
          </w:p>
        </w:tc>
        <w:tc>
          <w:tcPr/>
          <w:p>
            <w:pPr>
              <w:pStyle w:val="Compact"/>
              <w:jc w:val="left"/>
            </w:pPr>
            <w:r>
              <w:t xml:space="preserve">$5.000.000</w:t>
            </w:r>
          </w:p>
        </w:tc>
        <w:tc>
          <w:tcPr/>
          <w:p>
            <w:pPr>
              <w:pStyle w:val="Compact"/>
              <w:jc w:val="left"/>
            </w:pPr>
            <w:r>
              <w:t xml:space="preserve">Corporación</w:t>
            </w:r>
          </w:p>
        </w:tc>
      </w:tr>
      <w:tr>
        <w:tc>
          <w:tcPr/>
          <w:p>
            <w:pPr>
              <w:pStyle w:val="Compact"/>
              <w:jc w:val="left"/>
            </w:pPr>
            <w:r>
              <w:t xml:space="preserve">2.6</w:t>
            </w:r>
          </w:p>
        </w:tc>
        <w:tc>
          <w:tcPr/>
          <w:p>
            <w:pPr>
              <w:pStyle w:val="Compact"/>
              <w:jc w:val="left"/>
            </w:pPr>
            <w:r>
              <w:t xml:space="preserve">Salas seguras para entrevistas confidenciales, contratadas por horas de uso</w:t>
            </w:r>
          </w:p>
        </w:tc>
        <w:tc>
          <w:tcPr/>
          <w:p>
            <w:pPr>
              <w:pStyle w:val="Compact"/>
              <w:jc w:val="left"/>
            </w:pPr>
            <w:r>
              <w:t xml:space="preserve">$1.250.000</w:t>
            </w:r>
          </w:p>
        </w:tc>
        <w:tc>
          <w:tcPr/>
          <w:p>
            <w:pPr>
              <w:pStyle w:val="Compact"/>
              <w:jc w:val="left"/>
            </w:pPr>
            <w:r>
              <w:t xml:space="preserve">Corporación</w:t>
            </w:r>
          </w:p>
        </w:tc>
      </w:tr>
      <w:tr>
        <w:tc>
          <w:tcPr/>
          <w:p>
            <w:pPr>
              <w:pStyle w:val="Compact"/>
            </w:pPr>
          </w:p>
        </w:tc>
        <w:tc>
          <w:tcPr/>
          <w:p>
            <w:pPr>
              <w:pStyle w:val="Compact"/>
              <w:jc w:val="left"/>
            </w:pPr>
            <w:r>
              <w:t xml:space="preserve">Subtotal Producto 2</w:t>
            </w:r>
          </w:p>
        </w:tc>
        <w:tc>
          <w:tcPr/>
          <w:p>
            <w:pPr>
              <w:pStyle w:val="Compact"/>
              <w:jc w:val="left"/>
            </w:pPr>
            <w:r>
              <w:t xml:space="preserve">$49.500.000</w:t>
            </w:r>
          </w:p>
        </w:tc>
        <w:tc>
          <w:tcPr/>
          <w:p>
            <w:pPr>
              <w:pStyle w:val="Compact"/>
            </w:pPr>
          </w:p>
        </w:tc>
      </w:tr>
    </w:tbl>
    <w:p>
      <w:pPr>
        <w:pStyle w:val="BodyText"/>
      </w:pPr>
      <w:r>
        <w:t xml:space="preserve">Producto 3 - 4502020: Servicio de información estadística en temas de Derechos Humanos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N.º</w:t>
            </w:r>
          </w:p>
        </w:tc>
        <w:tc>
          <w:tcPr/>
          <w:p>
            <w:pPr>
              <w:pStyle w:val="Compact"/>
              <w:jc w:val="left"/>
            </w:pPr>
            <w:r>
              <w:t xml:space="preserve">Actividad</w:t>
            </w:r>
          </w:p>
        </w:tc>
        <w:tc>
          <w:tcPr/>
          <w:p>
            <w:pPr>
              <w:pStyle w:val="Compact"/>
              <w:jc w:val="left"/>
            </w:pPr>
            <w:r>
              <w:t xml:space="preserve">Costo</w:t>
            </w:r>
          </w:p>
        </w:tc>
        <w:tc>
          <w:tcPr/>
          <w:p>
            <w:pPr>
              <w:pStyle w:val="Compact"/>
              <w:jc w:val="left"/>
            </w:pPr>
            <w:r>
              <w:t xml:space="preserve">Fuente</w:t>
            </w:r>
          </w:p>
        </w:tc>
      </w:tr>
      <w:tr>
        <w:tc>
          <w:tcPr/>
          <w:p>
            <w:pPr>
              <w:pStyle w:val="Compact"/>
              <w:jc w:val="left"/>
            </w:pPr>
            <w:r>
              <w:t xml:space="preserve">3.1</w:t>
            </w:r>
          </w:p>
        </w:tc>
        <w:tc>
          <w:tcPr/>
          <w:p>
            <w:pPr>
              <w:pStyle w:val="Compact"/>
              <w:jc w:val="left"/>
            </w:pPr>
            <w:r>
              <w:t xml:space="preserve">Analítica estadística, construcción de series e índices y elaboración de los boletines semanales</w:t>
            </w:r>
          </w:p>
        </w:tc>
        <w:tc>
          <w:tcPr/>
          <w:p>
            <w:pPr>
              <w:pStyle w:val="Compact"/>
              <w:jc w:val="left"/>
            </w:pPr>
            <w:r>
              <w:t xml:space="preserve">$10.500.000</w:t>
            </w:r>
          </w:p>
        </w:tc>
        <w:tc>
          <w:tcPr/>
          <w:p>
            <w:pPr>
              <w:pStyle w:val="Compact"/>
              <w:jc w:val="left"/>
            </w:pPr>
            <w:r>
              <w:t xml:space="preserve">Gobernación</w:t>
            </w:r>
          </w:p>
        </w:tc>
      </w:tr>
      <w:tr>
        <w:tc>
          <w:tcPr/>
          <w:p>
            <w:pPr>
              <w:pStyle w:val="Compact"/>
              <w:jc w:val="left"/>
            </w:pPr>
            <w:r>
              <w:t xml:space="preserve">3.2</w:t>
            </w:r>
          </w:p>
        </w:tc>
        <w:tc>
          <w:tcPr/>
          <w:p>
            <w:pPr>
              <w:pStyle w:val="Compact"/>
              <w:jc w:val="left"/>
            </w:pPr>
            <w:r>
              <w:t xml:space="preserve">Diseño, diagramación, publicación digital semanal e impresión del informe y de los dos boletines impresos</w:t>
            </w:r>
          </w:p>
        </w:tc>
        <w:tc>
          <w:tcPr/>
          <w:p>
            <w:pPr>
              <w:pStyle w:val="Compact"/>
              <w:jc w:val="left"/>
            </w:pPr>
            <w:r>
              <w:t xml:space="preserve">$5.500.000</w:t>
            </w:r>
          </w:p>
        </w:tc>
        <w:tc>
          <w:tcPr/>
          <w:p>
            <w:pPr>
              <w:pStyle w:val="Compact"/>
              <w:jc w:val="left"/>
            </w:pPr>
            <w:r>
              <w:t xml:space="preserve">Gobernación</w:t>
            </w:r>
          </w:p>
        </w:tc>
      </w:tr>
      <w:tr>
        <w:tc>
          <w:tcPr/>
          <w:p>
            <w:pPr>
              <w:pStyle w:val="Compact"/>
            </w:pPr>
          </w:p>
        </w:tc>
        <w:tc>
          <w:tcPr/>
          <w:p>
            <w:pPr>
              <w:pStyle w:val="Compact"/>
              <w:jc w:val="left"/>
            </w:pPr>
            <w:r>
              <w:t xml:space="preserve">Subtotal Producto 3</w:t>
            </w:r>
          </w:p>
        </w:tc>
        <w:tc>
          <w:tcPr/>
          <w:p>
            <w:pPr>
              <w:pStyle w:val="Compact"/>
              <w:jc w:val="left"/>
            </w:pPr>
            <w:r>
              <w:t xml:space="preserve">$16.000.000</w:t>
            </w:r>
          </w:p>
        </w:tc>
        <w:tc>
          <w:tcPr/>
          <w:p>
            <w:pPr>
              <w:pStyle w:val="Compact"/>
            </w:pPr>
          </w:p>
        </w:tc>
      </w:tr>
    </w:tbl>
    <w:p>
      <w:pPr>
        <w:pStyle w:val="BodyText"/>
      </w:pPr>
      <w:r>
        <w:t xml:space="preserve">Producto 4 - 4502038: Servicio de promoción de la garantía de derechos (litigio estratégico)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N.º</w:t>
            </w:r>
          </w:p>
        </w:tc>
        <w:tc>
          <w:tcPr/>
          <w:p>
            <w:pPr>
              <w:pStyle w:val="Compact"/>
              <w:jc w:val="left"/>
            </w:pPr>
            <w:r>
              <w:t xml:space="preserve">Actividad</w:t>
            </w:r>
          </w:p>
        </w:tc>
        <w:tc>
          <w:tcPr/>
          <w:p>
            <w:pPr>
              <w:pStyle w:val="Compact"/>
              <w:jc w:val="left"/>
            </w:pPr>
            <w:r>
              <w:t xml:space="preserve">Costo</w:t>
            </w:r>
          </w:p>
        </w:tc>
        <w:tc>
          <w:tcPr/>
          <w:p>
            <w:pPr>
              <w:pStyle w:val="Compact"/>
              <w:jc w:val="left"/>
            </w:pPr>
            <w:r>
              <w:t xml:space="preserve">Fuente</w:t>
            </w:r>
          </w:p>
        </w:tc>
      </w:tr>
      <w:tr>
        <w:tc>
          <w:tcPr/>
          <w:p>
            <w:pPr>
              <w:pStyle w:val="Compact"/>
              <w:jc w:val="left"/>
            </w:pPr>
            <w:r>
              <w:t xml:space="preserve">4.1</w:t>
            </w:r>
          </w:p>
        </w:tc>
        <w:tc>
          <w:tcPr/>
          <w:p>
            <w:pPr>
              <w:pStyle w:val="Compact"/>
              <w:jc w:val="left"/>
            </w:pPr>
            <w:r>
              <w:t xml:space="preserve">Coordinación jurídica, dirección de la estrategia de litigio y supervisión técnica del subcontrato de servicios jurídicos</w:t>
            </w:r>
          </w:p>
        </w:tc>
        <w:tc>
          <w:tcPr/>
          <w:p>
            <w:pPr>
              <w:pStyle w:val="Compact"/>
              <w:jc w:val="left"/>
            </w:pPr>
            <w:r>
              <w:t xml:space="preserve">$13.750.000</w:t>
            </w:r>
          </w:p>
        </w:tc>
        <w:tc>
          <w:tcPr/>
          <w:p>
            <w:pPr>
              <w:pStyle w:val="Compact"/>
              <w:jc w:val="left"/>
            </w:pPr>
            <w:r>
              <w:t xml:space="preserve">Gobernación</w:t>
            </w:r>
          </w:p>
        </w:tc>
      </w:tr>
      <w:tr>
        <w:tc>
          <w:tcPr/>
          <w:p>
            <w:pPr>
              <w:pStyle w:val="Compact"/>
              <w:jc w:val="left"/>
            </w:pPr>
            <w:r>
              <w:t xml:space="preserve">4.2</w:t>
            </w:r>
          </w:p>
        </w:tc>
        <w:tc>
          <w:tcPr/>
          <w:p>
            <w:pPr>
              <w:pStyle w:val="Compact"/>
              <w:jc w:val="left"/>
            </w:pPr>
            <w:r>
              <w:t xml:space="preserve">Documentación y sustanciación de casos: abogado o abogada de casos</w:t>
            </w:r>
          </w:p>
        </w:tc>
        <w:tc>
          <w:tcPr/>
          <w:p>
            <w:pPr>
              <w:pStyle w:val="Compact"/>
              <w:jc w:val="left"/>
            </w:pPr>
            <w:r>
              <w:t xml:space="preserve">$9.250.000</w:t>
            </w:r>
          </w:p>
        </w:tc>
        <w:tc>
          <w:tcPr/>
          <w:p>
            <w:pPr>
              <w:pStyle w:val="Compact"/>
              <w:jc w:val="left"/>
            </w:pPr>
            <w:r>
              <w:t xml:space="preserve">Gobernación</w:t>
            </w:r>
          </w:p>
        </w:tc>
      </w:tr>
      <w:tr>
        <w:tc>
          <w:tcPr/>
          <w:p>
            <w:pPr>
              <w:pStyle w:val="Compact"/>
              <w:jc w:val="left"/>
            </w:pPr>
            <w:r>
              <w:t xml:space="preserve">4.3</w:t>
            </w:r>
          </w:p>
        </w:tc>
        <w:tc>
          <w:tcPr/>
          <w:p>
            <w:pPr>
              <w:pStyle w:val="Compact"/>
              <w:jc w:val="left"/>
            </w:pPr>
            <w:r>
              <w:t xml:space="preserve">Contratación de servicios jurídicos especializados y litigio estratégico: representación especializada ante la UNP, el CERREM y la Fiscalía en los casos asignados por la coordinación jurídica; peticiones y solicitudes de medidas cautelares ante la CIDH; litigio penal complejo en casos emblemáticos (numeral 14; el valor incluye los gastos operativos del litigio)</w:t>
            </w:r>
          </w:p>
        </w:tc>
        <w:tc>
          <w:tcPr/>
          <w:p>
            <w:pPr>
              <w:pStyle w:val="Compact"/>
              <w:jc w:val="left"/>
            </w:pPr>
            <w:r>
              <w:t xml:space="preserve">$78.500.000</w:t>
            </w:r>
          </w:p>
        </w:tc>
        <w:tc>
          <w:tcPr/>
          <w:p>
            <w:pPr>
              <w:pStyle w:val="Compact"/>
              <w:jc w:val="left"/>
            </w:pPr>
            <w:r>
              <w:t xml:space="preserve">Gobernación</w:t>
            </w:r>
          </w:p>
        </w:tc>
      </w:tr>
      <w:tr>
        <w:tc>
          <w:tcPr/>
          <w:p>
            <w:pPr>
              <w:pStyle w:val="Compact"/>
            </w:pPr>
          </w:p>
        </w:tc>
        <w:tc>
          <w:tcPr/>
          <w:p>
            <w:pPr>
              <w:pStyle w:val="Compact"/>
              <w:jc w:val="left"/>
            </w:pPr>
            <w:r>
              <w:t xml:space="preserve">Subtotal Producto 4</w:t>
            </w:r>
          </w:p>
        </w:tc>
        <w:tc>
          <w:tcPr/>
          <w:p>
            <w:pPr>
              <w:pStyle w:val="Compact"/>
              <w:jc w:val="left"/>
            </w:pPr>
            <w:r>
              <w:t xml:space="preserve">$101.500.000</w:t>
            </w:r>
          </w:p>
        </w:tc>
        <w:tc>
          <w:tcPr/>
          <w:p>
            <w:pPr>
              <w:pStyle w:val="Compact"/>
            </w:pPr>
          </w:p>
        </w:tc>
      </w:tr>
    </w:tbl>
    <w:p>
      <w:pPr>
        <w:pStyle w:val="BodyText"/>
      </w:pPr>
      <w:r>
        <w:t xml:space="preserve">Producto 5 - 4501006: Servicio de protección individual en riesgo extraordinario y extremo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N.º</w:t>
            </w:r>
          </w:p>
        </w:tc>
        <w:tc>
          <w:tcPr/>
          <w:p>
            <w:pPr>
              <w:pStyle w:val="Compact"/>
              <w:jc w:val="left"/>
            </w:pPr>
            <w:r>
              <w:t xml:space="preserve">Actividad</w:t>
            </w:r>
          </w:p>
        </w:tc>
        <w:tc>
          <w:tcPr/>
          <w:p>
            <w:pPr>
              <w:pStyle w:val="Compact"/>
              <w:jc w:val="left"/>
            </w:pPr>
            <w:r>
              <w:t xml:space="preserve">Costo</w:t>
            </w:r>
          </w:p>
        </w:tc>
        <w:tc>
          <w:tcPr/>
          <w:p>
            <w:pPr>
              <w:pStyle w:val="Compact"/>
              <w:jc w:val="left"/>
            </w:pPr>
            <w:r>
              <w:t xml:space="preserve">Fuente</w:t>
            </w:r>
          </w:p>
        </w:tc>
      </w:tr>
      <w:tr>
        <w:tc>
          <w:tcPr/>
          <w:p>
            <w:pPr>
              <w:pStyle w:val="Compact"/>
              <w:jc w:val="left"/>
            </w:pPr>
            <w:r>
              <w:t xml:space="preserve">5.1</w:t>
            </w:r>
          </w:p>
        </w:tc>
        <w:tc>
          <w:tcPr/>
          <w:p>
            <w:pPr>
              <w:pStyle w:val="Compact"/>
              <w:jc w:val="left"/>
            </w:pPr>
            <w:r>
              <w:t xml:space="preserve">Seguimiento jurídico al estado de las solicitudes y rutas de protección ante la UNP y el CERREM: abogado o abogada de rutas de protección</w:t>
            </w:r>
          </w:p>
        </w:tc>
        <w:tc>
          <w:tcPr/>
          <w:p>
            <w:pPr>
              <w:pStyle w:val="Compact"/>
              <w:jc w:val="left"/>
            </w:pPr>
            <w:r>
              <w:t xml:space="preserve">$9.250.000</w:t>
            </w:r>
          </w:p>
        </w:tc>
        <w:tc>
          <w:tcPr/>
          <w:p>
            <w:pPr>
              <w:pStyle w:val="Compact"/>
              <w:jc w:val="left"/>
            </w:pPr>
            <w:r>
              <w:t xml:space="preserve">Gobernación</w:t>
            </w:r>
          </w:p>
        </w:tc>
      </w:tr>
      <w:tr>
        <w:tc>
          <w:tcPr/>
          <w:p>
            <w:pPr>
              <w:pStyle w:val="Compact"/>
              <w:jc w:val="left"/>
            </w:pPr>
            <w:r>
              <w:t xml:space="preserve">5.2</w:t>
            </w:r>
          </w:p>
        </w:tc>
        <w:tc>
          <w:tcPr/>
          <w:p>
            <w:pPr>
              <w:pStyle w:val="Compact"/>
              <w:jc w:val="left"/>
            </w:pPr>
            <w:r>
              <w:t xml:space="preserve">Acompañamiento psicosocial a las personas beneficiarias y a las personas declarantes</w:t>
            </w:r>
          </w:p>
        </w:tc>
        <w:tc>
          <w:tcPr/>
          <w:p>
            <w:pPr>
              <w:pStyle w:val="Compact"/>
              <w:jc w:val="left"/>
            </w:pPr>
            <w:r>
              <w:t xml:space="preserve">$6.250.000</w:t>
            </w:r>
          </w:p>
        </w:tc>
        <w:tc>
          <w:tcPr/>
          <w:p>
            <w:pPr>
              <w:pStyle w:val="Compact"/>
              <w:jc w:val="left"/>
            </w:pPr>
            <w:r>
              <w:t xml:space="preserve">Gobernación</w:t>
            </w:r>
          </w:p>
        </w:tc>
      </w:tr>
      <w:tr>
        <w:tc>
          <w:tcPr/>
          <w:p>
            <w:pPr>
              <w:pStyle w:val="Compact"/>
            </w:pPr>
          </w:p>
        </w:tc>
        <w:tc>
          <w:tcPr/>
          <w:p>
            <w:pPr>
              <w:pStyle w:val="Compact"/>
              <w:jc w:val="left"/>
            </w:pPr>
            <w:r>
              <w:t xml:space="preserve">Subtotal Producto 5</w:t>
            </w:r>
          </w:p>
        </w:tc>
        <w:tc>
          <w:tcPr/>
          <w:p>
            <w:pPr>
              <w:pStyle w:val="Compact"/>
              <w:jc w:val="left"/>
            </w:pPr>
            <w:r>
              <w:t xml:space="preserve">$15.500.000</w:t>
            </w:r>
          </w:p>
        </w:tc>
        <w:tc>
          <w:tcPr/>
          <w:p>
            <w:pPr>
              <w:pStyle w:val="Compact"/>
            </w:pPr>
          </w:p>
        </w:tc>
      </w:tr>
    </w:tbl>
    <w:p>
      <w:pPr>
        <w:pStyle w:val="BodyText"/>
      </w:pPr>
      <w:r>
        <w:t xml:space="preserve">Producto 6 - 4502032: Documentos de lineamientos técnicos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N.º</w:t>
            </w:r>
          </w:p>
        </w:tc>
        <w:tc>
          <w:tcPr/>
          <w:p>
            <w:pPr>
              <w:pStyle w:val="Compact"/>
              <w:jc w:val="left"/>
            </w:pPr>
            <w:r>
              <w:t xml:space="preserve">Actividad</w:t>
            </w:r>
          </w:p>
        </w:tc>
        <w:tc>
          <w:tcPr/>
          <w:p>
            <w:pPr>
              <w:pStyle w:val="Compact"/>
              <w:jc w:val="left"/>
            </w:pPr>
            <w:r>
              <w:t xml:space="preserve">Costo</w:t>
            </w:r>
          </w:p>
        </w:tc>
        <w:tc>
          <w:tcPr/>
          <w:p>
            <w:pPr>
              <w:pStyle w:val="Compact"/>
              <w:jc w:val="left"/>
            </w:pPr>
            <w:r>
              <w:t xml:space="preserve">Fuente</w:t>
            </w:r>
          </w:p>
        </w:tc>
      </w:tr>
      <w:tr>
        <w:tc>
          <w:tcPr/>
          <w:p>
            <w:pPr>
              <w:pStyle w:val="Compact"/>
              <w:jc w:val="left"/>
            </w:pPr>
            <w:r>
              <w:t xml:space="preserve">6.1</w:t>
            </w:r>
          </w:p>
        </w:tc>
        <w:tc>
          <w:tcPr/>
          <w:p>
            <w:pPr>
              <w:pStyle w:val="Compact"/>
              <w:jc w:val="left"/>
            </w:pPr>
            <w:r>
              <w:t xml:space="preserve">Mesa técnica de validación con las fuentes y audiencia pública de presentación de resultados, que sirve además de audiencia departamental de balance de la red (numeral 15)</w:t>
            </w:r>
          </w:p>
        </w:tc>
        <w:tc>
          <w:tcPr/>
          <w:p>
            <w:pPr>
              <w:pStyle w:val="Compact"/>
              <w:jc w:val="left"/>
            </w:pPr>
            <w:r>
              <w:t xml:space="preserve">$3.500.000</w:t>
            </w:r>
          </w:p>
        </w:tc>
        <w:tc>
          <w:tcPr/>
          <w:p>
            <w:pPr>
              <w:pStyle w:val="Compact"/>
              <w:jc w:val="left"/>
            </w:pPr>
            <w:r>
              <w:t xml:space="preserve">Gobernación</w:t>
            </w:r>
          </w:p>
        </w:tc>
      </w:tr>
      <w:tr>
        <w:tc>
          <w:tcPr/>
          <w:p>
            <w:pPr>
              <w:pStyle w:val="Compact"/>
            </w:pPr>
          </w:p>
        </w:tc>
        <w:tc>
          <w:tcPr/>
          <w:p>
            <w:pPr>
              <w:pStyle w:val="Compact"/>
              <w:jc w:val="left"/>
            </w:pPr>
            <w:r>
              <w:t xml:space="preserve">Subtotal Producto 6</w:t>
            </w:r>
          </w:p>
        </w:tc>
        <w:tc>
          <w:tcPr/>
          <w:p>
            <w:pPr>
              <w:pStyle w:val="Compact"/>
              <w:jc w:val="left"/>
            </w:pPr>
            <w:r>
              <w:t xml:space="preserve">$3.500.000</w:t>
            </w:r>
          </w:p>
        </w:tc>
        <w:tc>
          <w:tcPr/>
          <w:p>
            <w:pPr>
              <w:pStyle w:val="Compact"/>
            </w:pPr>
          </w:p>
        </w:tc>
      </w:tr>
    </w:tbl>
    <w:p>
      <w:pPr>
        <w:pStyle w:val="BodyText"/>
      </w:pPr>
      <w:r>
        <w:t xml:space="preserve">Producto 7 - 4502038: Red departamental de defensores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N.º</w:t>
            </w:r>
          </w:p>
        </w:tc>
        <w:tc>
          <w:tcPr/>
          <w:p>
            <w:pPr>
              <w:pStyle w:val="Compact"/>
              <w:jc w:val="left"/>
            </w:pPr>
            <w:r>
              <w:t xml:space="preserve">Actividad</w:t>
            </w:r>
          </w:p>
        </w:tc>
        <w:tc>
          <w:tcPr/>
          <w:p>
            <w:pPr>
              <w:pStyle w:val="Compact"/>
              <w:jc w:val="left"/>
            </w:pPr>
            <w:r>
              <w:t xml:space="preserve">Costo</w:t>
            </w:r>
          </w:p>
        </w:tc>
        <w:tc>
          <w:tcPr/>
          <w:p>
            <w:pPr>
              <w:pStyle w:val="Compact"/>
              <w:jc w:val="left"/>
            </w:pPr>
            <w:r>
              <w:t xml:space="preserve">Fuente</w:t>
            </w:r>
          </w:p>
        </w:tc>
      </w:tr>
      <w:tr>
        <w:tc>
          <w:tcPr/>
          <w:p>
            <w:pPr>
              <w:pStyle w:val="Compact"/>
              <w:jc w:val="left"/>
            </w:pPr>
            <w:r>
              <w:t xml:space="preserve">7.1</w:t>
            </w:r>
          </w:p>
        </w:tc>
        <w:tc>
          <w:tcPr/>
          <w:p>
            <w:pPr>
              <w:pStyle w:val="Compact"/>
              <w:jc w:val="left"/>
            </w:pPr>
            <w:r>
              <w:t xml:space="preserve">Instalación pública de la red departamental de defensores en Cúcuta</w:t>
            </w:r>
          </w:p>
        </w:tc>
        <w:tc>
          <w:tcPr/>
          <w:p>
            <w:pPr>
              <w:pStyle w:val="Compact"/>
              <w:jc w:val="left"/>
            </w:pPr>
            <w:r>
              <w:t xml:space="preserve">$3.000.000</w:t>
            </w:r>
          </w:p>
        </w:tc>
        <w:tc>
          <w:tcPr/>
          <w:p>
            <w:pPr>
              <w:pStyle w:val="Compact"/>
              <w:jc w:val="left"/>
            </w:pPr>
            <w:r>
              <w:t xml:space="preserve">Gobernación</w:t>
            </w:r>
          </w:p>
        </w:tc>
      </w:tr>
      <w:tr>
        <w:tc>
          <w:tcPr/>
          <w:p>
            <w:pPr>
              <w:pStyle w:val="Compact"/>
              <w:jc w:val="left"/>
            </w:pPr>
            <w:r>
              <w:t xml:space="preserve">7.2</w:t>
            </w:r>
          </w:p>
        </w:tc>
        <w:tc>
          <w:tcPr/>
          <w:p>
            <w:pPr>
              <w:pStyle w:val="Compact"/>
              <w:jc w:val="left"/>
            </w:pPr>
            <w:r>
              <w:t xml:space="preserve">Guía de autoprotección adaptada al departamento, impresa y digital</w:t>
            </w:r>
          </w:p>
        </w:tc>
        <w:tc>
          <w:tcPr/>
          <w:p>
            <w:pPr>
              <w:pStyle w:val="Compact"/>
              <w:jc w:val="left"/>
            </w:pPr>
            <w:r>
              <w:t xml:space="preserve">$3.000.000</w:t>
            </w:r>
          </w:p>
        </w:tc>
        <w:tc>
          <w:tcPr/>
          <w:p>
            <w:pPr>
              <w:pStyle w:val="Compact"/>
              <w:jc w:val="left"/>
            </w:pPr>
            <w:r>
              <w:t xml:space="preserve">Gobernación</w:t>
            </w:r>
          </w:p>
        </w:tc>
      </w:tr>
      <w:tr>
        <w:tc>
          <w:tcPr/>
          <w:p>
            <w:pPr>
              <w:pStyle w:val="Compact"/>
              <w:jc w:val="left"/>
            </w:pPr>
            <w:r>
              <w:t xml:space="preserve">7.3</w:t>
            </w:r>
          </w:p>
        </w:tc>
        <w:tc>
          <w:tcPr/>
          <w:p>
            <w:pPr>
              <w:pStyle w:val="Compact"/>
              <w:jc w:val="left"/>
            </w:pPr>
            <w:r>
              <w:t xml:space="preserve">Protocolo de alerta y reacción rápida: formación y canal seguro de comunicaciones</w:t>
            </w:r>
          </w:p>
        </w:tc>
        <w:tc>
          <w:tcPr/>
          <w:p>
            <w:pPr>
              <w:pStyle w:val="Compact"/>
              <w:jc w:val="left"/>
            </w:pPr>
            <w:r>
              <w:t xml:space="preserve">$2.000.000</w:t>
            </w:r>
          </w:p>
        </w:tc>
        <w:tc>
          <w:tcPr/>
          <w:p>
            <w:pPr>
              <w:pStyle w:val="Compact"/>
              <w:jc w:val="left"/>
            </w:pPr>
            <w:r>
              <w:t xml:space="preserve">Gobernación</w:t>
            </w:r>
          </w:p>
        </w:tc>
      </w:tr>
      <w:tr>
        <w:tc>
          <w:tcPr/>
          <w:p>
            <w:pPr>
              <w:pStyle w:val="Compact"/>
            </w:pPr>
          </w:p>
        </w:tc>
        <w:tc>
          <w:tcPr/>
          <w:p>
            <w:pPr>
              <w:pStyle w:val="Compact"/>
              <w:jc w:val="left"/>
            </w:pPr>
            <w:r>
              <w:t xml:space="preserve">Subtotal Producto 7</w:t>
            </w:r>
          </w:p>
        </w:tc>
        <w:tc>
          <w:tcPr/>
          <w:p>
            <w:pPr>
              <w:pStyle w:val="Compact"/>
              <w:jc w:val="left"/>
            </w:pPr>
            <w:r>
              <w:t xml:space="preserve">$8.000.000</w:t>
            </w:r>
          </w:p>
        </w:tc>
        <w:tc>
          <w:tcPr/>
          <w:p>
            <w:pPr>
              <w:pStyle w:val="Compact"/>
            </w:pPr>
          </w:p>
        </w:tc>
      </w:tr>
    </w:tbl>
    <w:p>
      <w:pPr>
        <w:pStyle w:val="BodyText"/>
      </w:pPr>
      <w:r>
        <w:t xml:space="preserve">Actividades transversales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N.º</w:t>
            </w:r>
          </w:p>
        </w:tc>
        <w:tc>
          <w:tcPr/>
          <w:p>
            <w:pPr>
              <w:pStyle w:val="Compact"/>
              <w:jc w:val="left"/>
            </w:pPr>
            <w:r>
              <w:t xml:space="preserve">Actividad</w:t>
            </w:r>
          </w:p>
        </w:tc>
        <w:tc>
          <w:tcPr/>
          <w:p>
            <w:pPr>
              <w:pStyle w:val="Compact"/>
              <w:jc w:val="left"/>
            </w:pPr>
            <w:r>
              <w:t xml:space="preserve">Costo</w:t>
            </w:r>
          </w:p>
        </w:tc>
        <w:tc>
          <w:tcPr/>
          <w:p>
            <w:pPr>
              <w:pStyle w:val="Compact"/>
              <w:jc w:val="left"/>
            </w:pPr>
            <w:r>
              <w:t xml:space="preserve">Fuente</w:t>
            </w:r>
          </w:p>
        </w:tc>
      </w:tr>
      <w:tr>
        <w:tc>
          <w:tcPr/>
          <w:p>
            <w:pPr>
              <w:pStyle w:val="Compact"/>
              <w:jc w:val="left"/>
            </w:pPr>
            <w:r>
              <w:t xml:space="preserve">T.1</w:t>
            </w:r>
          </w:p>
        </w:tc>
        <w:tc>
          <w:tcPr/>
          <w:p>
            <w:pPr>
              <w:pStyle w:val="Compact"/>
              <w:jc w:val="left"/>
            </w:pPr>
            <w:r>
              <w:t xml:space="preserve">Dirección general del proyecto (2,5 meses)</w:t>
            </w:r>
          </w:p>
        </w:tc>
        <w:tc>
          <w:tcPr/>
          <w:p>
            <w:pPr>
              <w:pStyle w:val="Compact"/>
              <w:jc w:val="left"/>
            </w:pPr>
            <w:r>
              <w:t xml:space="preserve">$16.250.000</w:t>
            </w:r>
          </w:p>
        </w:tc>
        <w:tc>
          <w:tcPr/>
          <w:p>
            <w:pPr>
              <w:pStyle w:val="Compact"/>
              <w:jc w:val="left"/>
            </w:pPr>
            <w:r>
              <w:t xml:space="preserve">Gobernación</w:t>
            </w:r>
          </w:p>
        </w:tc>
      </w:tr>
      <w:tr>
        <w:tc>
          <w:tcPr/>
          <w:p>
            <w:pPr>
              <w:pStyle w:val="Compact"/>
              <w:jc w:val="left"/>
            </w:pPr>
            <w:r>
              <w:t xml:space="preserve">T.2</w:t>
            </w:r>
          </w:p>
        </w:tc>
        <w:tc>
          <w:tcPr/>
          <w:p>
            <w:pPr>
              <w:pStyle w:val="Compact"/>
              <w:jc w:val="left"/>
            </w:pPr>
            <w:r>
              <w:t xml:space="preserve">Administración y contabilidad del contrato</w:t>
            </w:r>
          </w:p>
        </w:tc>
        <w:tc>
          <w:tcPr/>
          <w:p>
            <w:pPr>
              <w:pStyle w:val="Compact"/>
              <w:jc w:val="left"/>
            </w:pPr>
            <w:r>
              <w:t xml:space="preserve">$8.750.000</w:t>
            </w:r>
          </w:p>
        </w:tc>
        <w:tc>
          <w:tcPr/>
          <w:p>
            <w:pPr>
              <w:pStyle w:val="Compact"/>
              <w:jc w:val="left"/>
            </w:pPr>
            <w:r>
              <w:t xml:space="preserve">Gobernación</w:t>
            </w:r>
          </w:p>
        </w:tc>
      </w:tr>
      <w:tr>
        <w:tc>
          <w:tcPr/>
          <w:p>
            <w:pPr>
              <w:pStyle w:val="Compact"/>
              <w:jc w:val="left"/>
            </w:pPr>
            <w:r>
              <w:t xml:space="preserve">T.3</w:t>
            </w:r>
          </w:p>
        </w:tc>
        <w:tc>
          <w:tcPr/>
          <w:p>
            <w:pPr>
              <w:pStyle w:val="Compact"/>
              <w:jc w:val="left"/>
            </w:pPr>
            <w:r>
              <w:t xml:space="preserve">Auditoría externa, informe final y liquidación</w:t>
            </w:r>
          </w:p>
        </w:tc>
        <w:tc>
          <w:tcPr/>
          <w:p>
            <w:pPr>
              <w:pStyle w:val="Compact"/>
              <w:jc w:val="left"/>
            </w:pPr>
            <w:r>
              <w:t xml:space="preserve">$3.000.000</w:t>
            </w:r>
          </w:p>
        </w:tc>
        <w:tc>
          <w:tcPr/>
          <w:p>
            <w:pPr>
              <w:pStyle w:val="Compact"/>
              <w:jc w:val="left"/>
            </w:pPr>
            <w:r>
              <w:t xml:space="preserve">Gobernación</w:t>
            </w:r>
          </w:p>
        </w:tc>
      </w:tr>
      <w:tr>
        <w:tc>
          <w:tcPr/>
          <w:p>
            <w:pPr>
              <w:pStyle w:val="Compact"/>
              <w:jc w:val="left"/>
            </w:pPr>
            <w:r>
              <w:t xml:space="preserve">T.4</w:t>
            </w:r>
          </w:p>
        </w:tc>
        <w:tc>
          <w:tcPr/>
          <w:p>
            <w:pPr>
              <w:pStyle w:val="Compact"/>
              <w:jc w:val="left"/>
            </w:pPr>
            <w:r>
              <w:t xml:space="preserve">Conectividad, telefonía segura y papelería</w:t>
            </w:r>
          </w:p>
        </w:tc>
        <w:tc>
          <w:tcPr/>
          <w:p>
            <w:pPr>
              <w:pStyle w:val="Compact"/>
              <w:jc w:val="left"/>
            </w:pPr>
            <w:r>
              <w:t xml:space="preserve">$2.500.000</w:t>
            </w:r>
          </w:p>
        </w:tc>
        <w:tc>
          <w:tcPr/>
          <w:p>
            <w:pPr>
              <w:pStyle w:val="Compact"/>
              <w:jc w:val="left"/>
            </w:pPr>
            <w:r>
              <w:t xml:space="preserve">Corporación</w:t>
            </w:r>
          </w:p>
        </w:tc>
      </w:tr>
      <w:tr>
        <w:tc>
          <w:tcPr/>
          <w:p>
            <w:pPr>
              <w:pStyle w:val="Compact"/>
            </w:pPr>
          </w:p>
        </w:tc>
        <w:tc>
          <w:tcPr/>
          <w:p>
            <w:pPr>
              <w:pStyle w:val="Compact"/>
              <w:jc w:val="left"/>
            </w:pPr>
            <w:r>
              <w:t xml:space="preserve">Subtotal transversal</w:t>
            </w:r>
          </w:p>
        </w:tc>
        <w:tc>
          <w:tcPr/>
          <w:p>
            <w:pPr>
              <w:pStyle w:val="Compact"/>
              <w:jc w:val="left"/>
            </w:pPr>
            <w:r>
              <w:t xml:space="preserve">$30.500.000</w:t>
            </w:r>
          </w:p>
        </w:tc>
        <w:tc>
          <w:tcPr/>
          <w:p>
            <w:pPr>
              <w:pStyle w:val="Compact"/>
            </w:pPr>
          </w:p>
        </w:tc>
      </w:tr>
    </w:tbl>
    <w:bookmarkEnd w:id="41"/>
    <w:bookmarkStart w:id="42" w:name="presupuesto-consolidado"/>
    <w:p>
      <w:pPr>
        <w:pStyle w:val="Heading2"/>
      </w:pPr>
      <w:r>
        <w:t xml:space="preserve">18. Presupuesto consolidado</w:t>
      </w:r>
    </w:p>
    <w:p>
      <w:pPr>
        <w:pStyle w:val="FirstParagraph"/>
      </w:pPr>
      <w:r>
        <w:t xml:space="preserve">Aporte de la Gobernación: $200.000.000, aplicado a los boletines, el componente jurídico, la incidencia, la red de defensores y la dirección del proyecto.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Ítem</w:t>
            </w:r>
          </w:p>
        </w:tc>
        <w:tc>
          <w:tcPr/>
          <w:p>
            <w:pPr>
              <w:pStyle w:val="Compact"/>
              <w:jc w:val="left"/>
            </w:pPr>
            <w:r>
              <w:t xml:space="preserve">Concepto</w:t>
            </w:r>
          </w:p>
        </w:tc>
        <w:tc>
          <w:tcPr/>
          <w:p>
            <w:pPr>
              <w:pStyle w:val="Compact"/>
              <w:jc w:val="left"/>
            </w:pPr>
            <w:r>
              <w:t xml:space="preserve">Valor</w:t>
            </w:r>
          </w:p>
        </w:tc>
      </w:tr>
      <w:tr>
        <w:tc>
          <w:tcPr/>
          <w:p>
            <w:pPr>
              <w:pStyle w:val="Compact"/>
              <w:jc w:val="left"/>
            </w:pPr>
            <w:r>
              <w:t xml:space="preserve">Producto 3</w:t>
            </w:r>
          </w:p>
        </w:tc>
        <w:tc>
          <w:tcPr/>
          <w:p>
            <w:pPr>
              <w:pStyle w:val="Compact"/>
              <w:jc w:val="left"/>
            </w:pPr>
            <w:r>
              <w:t xml:space="preserve">4502020 - Servicio de información estadística en temas de Derechos Humanos</w:t>
            </w:r>
          </w:p>
        </w:tc>
        <w:tc>
          <w:tcPr/>
          <w:p>
            <w:pPr>
              <w:pStyle w:val="Compact"/>
              <w:jc w:val="left"/>
            </w:pPr>
            <w:r>
              <w:t xml:space="preserve">$16.000.000</w:t>
            </w:r>
          </w:p>
        </w:tc>
      </w:tr>
      <w:tr>
        <w:tc>
          <w:tcPr/>
          <w:p>
            <w:pPr>
              <w:pStyle w:val="Compact"/>
              <w:jc w:val="left"/>
            </w:pPr>
            <w:r>
              <w:t xml:space="preserve">Producto 4</w:t>
            </w:r>
          </w:p>
        </w:tc>
        <w:tc>
          <w:tcPr/>
          <w:p>
            <w:pPr>
              <w:pStyle w:val="Compact"/>
              <w:jc w:val="left"/>
            </w:pPr>
            <w:r>
              <w:t xml:space="preserve">4502038 - Litigio estratégico</w:t>
            </w:r>
          </w:p>
        </w:tc>
        <w:tc>
          <w:tcPr/>
          <w:p>
            <w:pPr>
              <w:pStyle w:val="Compact"/>
              <w:jc w:val="left"/>
            </w:pPr>
            <w:r>
              <w:t xml:space="preserve">$101.500.000</w:t>
            </w:r>
          </w:p>
        </w:tc>
      </w:tr>
      <w:tr>
        <w:tc>
          <w:tcPr/>
          <w:p>
            <w:pPr>
              <w:pStyle w:val="Compact"/>
              <w:jc w:val="left"/>
            </w:pPr>
            <w:r>
              <w:t xml:space="preserve">Producto 5</w:t>
            </w:r>
          </w:p>
        </w:tc>
        <w:tc>
          <w:tcPr/>
          <w:p>
            <w:pPr>
              <w:pStyle w:val="Compact"/>
              <w:jc w:val="left"/>
            </w:pPr>
            <w:r>
              <w:t xml:space="preserve">4501006 - Servicio de protección individual en riesgo extraordinario y extremo</w:t>
            </w:r>
          </w:p>
        </w:tc>
        <w:tc>
          <w:tcPr/>
          <w:p>
            <w:pPr>
              <w:pStyle w:val="Compact"/>
              <w:jc w:val="left"/>
            </w:pPr>
            <w:r>
              <w:t xml:space="preserve">$15.500.000</w:t>
            </w:r>
          </w:p>
        </w:tc>
      </w:tr>
      <w:tr>
        <w:tc>
          <w:tcPr/>
          <w:p>
            <w:pPr>
              <w:pStyle w:val="Compact"/>
              <w:jc w:val="left"/>
            </w:pPr>
            <w:r>
              <w:t xml:space="preserve">Producto 6</w:t>
            </w:r>
          </w:p>
        </w:tc>
        <w:tc>
          <w:tcPr/>
          <w:p>
            <w:pPr>
              <w:pStyle w:val="Compact"/>
              <w:jc w:val="left"/>
            </w:pPr>
            <w:r>
              <w:t xml:space="preserve">4502032 - Documentos de lineamientos técnicos</w:t>
            </w:r>
          </w:p>
        </w:tc>
        <w:tc>
          <w:tcPr/>
          <w:p>
            <w:pPr>
              <w:pStyle w:val="Compact"/>
              <w:jc w:val="left"/>
            </w:pPr>
            <w:r>
              <w:t xml:space="preserve">$3.500.000</w:t>
            </w:r>
          </w:p>
        </w:tc>
      </w:tr>
      <w:tr>
        <w:tc>
          <w:tcPr/>
          <w:p>
            <w:pPr>
              <w:pStyle w:val="Compact"/>
              <w:jc w:val="left"/>
            </w:pPr>
            <w:r>
              <w:t xml:space="preserve">Producto 7</w:t>
            </w:r>
          </w:p>
        </w:tc>
        <w:tc>
          <w:tcPr/>
          <w:p>
            <w:pPr>
              <w:pStyle w:val="Compact"/>
              <w:jc w:val="left"/>
            </w:pPr>
            <w:r>
              <w:t xml:space="preserve">4502038 - Red departamental de defensores</w:t>
            </w:r>
          </w:p>
        </w:tc>
        <w:tc>
          <w:tcPr/>
          <w:p>
            <w:pPr>
              <w:pStyle w:val="Compact"/>
              <w:jc w:val="left"/>
            </w:pPr>
            <w:r>
              <w:t xml:space="preserve">$8.000.000</w:t>
            </w:r>
          </w:p>
        </w:tc>
      </w:tr>
      <w:tr>
        <w:tc>
          <w:tcPr/>
          <w:p>
            <w:pPr>
              <w:pStyle w:val="Compact"/>
              <w:jc w:val="left"/>
            </w:pPr>
            <w:r>
              <w:t xml:space="preserve">Transversal</w:t>
            </w:r>
          </w:p>
        </w:tc>
        <w:tc>
          <w:tcPr/>
          <w:p>
            <w:pPr>
              <w:pStyle w:val="Compact"/>
              <w:jc w:val="left"/>
            </w:pPr>
            <w:r>
              <w:t xml:space="preserve">Dirección, administración y auditoría</w:t>
            </w:r>
          </w:p>
        </w:tc>
        <w:tc>
          <w:tcPr/>
          <w:p>
            <w:pPr>
              <w:pStyle w:val="Compact"/>
              <w:jc w:val="left"/>
            </w:pPr>
            <w:r>
              <w:t xml:space="preserve">$28.000.000</w:t>
            </w:r>
          </w:p>
        </w:tc>
      </w:tr>
      <w:tr>
        <w:tc>
          <w:tcPr/>
          <w:p>
            <w:pPr>
              <w:pStyle w:val="Compact"/>
            </w:pPr>
          </w:p>
        </w:tc>
        <w:tc>
          <w:tcPr/>
          <w:p>
            <w:pPr>
              <w:pStyle w:val="Compact"/>
              <w:jc w:val="left"/>
            </w:pPr>
            <w:r>
              <w:t xml:space="preserve">Subtotal de costos directos</w:t>
            </w:r>
          </w:p>
        </w:tc>
        <w:tc>
          <w:tcPr/>
          <w:p>
            <w:pPr>
              <w:pStyle w:val="Compact"/>
              <w:jc w:val="left"/>
            </w:pPr>
            <w:r>
              <w:t xml:space="preserve">$172.500.000</w:t>
            </w:r>
          </w:p>
        </w:tc>
      </w:tr>
      <w:tr>
        <w:tc>
          <w:tcPr/>
          <w:p>
            <w:pPr>
              <w:pStyle w:val="Compact"/>
            </w:pPr>
          </w:p>
        </w:tc>
        <w:tc>
          <w:tcPr/>
          <w:p>
            <w:pPr>
              <w:pStyle w:val="Compact"/>
              <w:jc w:val="left"/>
            </w:pPr>
            <w:r>
              <w:t xml:space="preserve">Estampillas y retenciones departamentales (6,5 % sobre los desembolsos de la Gobernación) [verificar contra la Ordenanza 018 de 2025]</w:t>
            </w:r>
          </w:p>
        </w:tc>
        <w:tc>
          <w:tcPr/>
          <w:p>
            <w:pPr>
              <w:pStyle w:val="Compact"/>
              <w:jc w:val="left"/>
            </w:pPr>
            <w:r>
              <w:t xml:space="preserve">$13.000.000</w:t>
            </w:r>
          </w:p>
        </w:tc>
      </w:tr>
      <w:tr>
        <w:tc>
          <w:tcPr/>
          <w:p>
            <w:pPr>
              <w:pStyle w:val="Compact"/>
            </w:pPr>
          </w:p>
        </w:tc>
        <w:tc>
          <w:tcPr/>
          <w:p>
            <w:pPr>
              <w:pStyle w:val="Compact"/>
              <w:jc w:val="left"/>
            </w:pPr>
            <w:r>
              <w:t xml:space="preserve">Garantías: pólizas de cumplimiento, calidad y pago de salarios</w:t>
            </w:r>
          </w:p>
        </w:tc>
        <w:tc>
          <w:tcPr/>
          <w:p>
            <w:pPr>
              <w:pStyle w:val="Compact"/>
              <w:jc w:val="left"/>
            </w:pPr>
            <w:r>
              <w:t xml:space="preserve">$3.500.000</w:t>
            </w:r>
          </w:p>
        </w:tc>
      </w:tr>
      <w:tr>
        <w:tc>
          <w:tcPr/>
          <w:p>
            <w:pPr>
              <w:pStyle w:val="Compact"/>
            </w:pPr>
          </w:p>
        </w:tc>
        <w:tc>
          <w:tcPr/>
          <w:p>
            <w:pPr>
              <w:pStyle w:val="Compact"/>
              <w:jc w:val="left"/>
            </w:pPr>
            <w:r>
              <w:t xml:space="preserve">Costos indirectos de administración de la Corporación reconocidos por el convenio</w:t>
            </w:r>
          </w:p>
        </w:tc>
        <w:tc>
          <w:tcPr/>
          <w:p>
            <w:pPr>
              <w:pStyle w:val="Compact"/>
              <w:jc w:val="left"/>
            </w:pPr>
            <w:r>
              <w:t xml:space="preserve">$11.000.000</w:t>
            </w:r>
          </w:p>
        </w:tc>
      </w:tr>
      <w:tr>
        <w:tc>
          <w:tcPr/>
          <w:p>
            <w:pPr>
              <w:pStyle w:val="Compact"/>
            </w:pPr>
          </w:p>
        </w:tc>
        <w:tc>
          <w:tcPr/>
          <w:p>
            <w:pPr>
              <w:pStyle w:val="Compact"/>
              <w:jc w:val="left"/>
            </w:pPr>
            <w:r>
              <w:t xml:space="preserve">TOTAL APORTE DE LA GOBERNACIÓN</w:t>
            </w:r>
          </w:p>
        </w:tc>
        <w:tc>
          <w:tcPr/>
          <w:p>
            <w:pPr>
              <w:pStyle w:val="Compact"/>
              <w:jc w:val="left"/>
            </w:pPr>
            <w:r>
              <w:t xml:space="preserve">$200.000.000</w:t>
            </w:r>
          </w:p>
        </w:tc>
      </w:tr>
    </w:tbl>
    <w:p>
      <w:pPr>
        <w:pStyle w:val="BodyText"/>
      </w:pPr>
      <w:r>
        <w:t xml:space="preserve">Aporte de la Corporación: $85.714.286 en dinero, aplicado al sistema de información, a la investigación del informe y a la facilitación de la ejecución.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Ítem</w:t>
            </w:r>
          </w:p>
        </w:tc>
        <w:tc>
          <w:tcPr/>
          <w:p>
            <w:pPr>
              <w:pStyle w:val="Compact"/>
              <w:jc w:val="left"/>
            </w:pPr>
            <w:r>
              <w:t xml:space="preserve">Concepto</w:t>
            </w:r>
          </w:p>
        </w:tc>
        <w:tc>
          <w:tcPr/>
          <w:p>
            <w:pPr>
              <w:pStyle w:val="Compact"/>
              <w:jc w:val="left"/>
            </w:pPr>
            <w:r>
              <w:t xml:space="preserve">Valor</w:t>
            </w:r>
          </w:p>
        </w:tc>
      </w:tr>
      <w:tr>
        <w:tc>
          <w:tcPr/>
          <w:p>
            <w:pPr>
              <w:pStyle w:val="Compact"/>
              <w:jc w:val="left"/>
            </w:pPr>
            <w:r>
              <w:t xml:space="preserve">Producto 1</w:t>
            </w:r>
          </w:p>
        </w:tc>
        <w:tc>
          <w:tcPr/>
          <w:p>
            <w:pPr>
              <w:pStyle w:val="Compact"/>
              <w:jc w:val="left"/>
            </w:pPr>
            <w:r>
              <w:t xml:space="preserve">4502016 - Servicio de información implementado</w:t>
            </w:r>
          </w:p>
        </w:tc>
        <w:tc>
          <w:tcPr/>
          <w:p>
            <w:pPr>
              <w:pStyle w:val="Compact"/>
              <w:jc w:val="left"/>
            </w:pPr>
            <w:r>
              <w:t xml:space="preserve">$28.000.000</w:t>
            </w:r>
          </w:p>
        </w:tc>
      </w:tr>
      <w:tr>
        <w:tc>
          <w:tcPr/>
          <w:p>
            <w:pPr>
              <w:pStyle w:val="Compact"/>
              <w:jc w:val="left"/>
            </w:pPr>
            <w:r>
              <w:t xml:space="preserve">Producto 2</w:t>
            </w:r>
          </w:p>
        </w:tc>
        <w:tc>
          <w:tcPr/>
          <w:p>
            <w:pPr>
              <w:pStyle w:val="Compact"/>
              <w:jc w:val="left"/>
            </w:pPr>
            <w:r>
              <w:t xml:space="preserve">4502030 - Documentos de investigación</w:t>
            </w:r>
          </w:p>
        </w:tc>
        <w:tc>
          <w:tcPr/>
          <w:p>
            <w:pPr>
              <w:pStyle w:val="Compact"/>
              <w:jc w:val="left"/>
            </w:pPr>
            <w:r>
              <w:t xml:space="preserve">$49.500.000</w:t>
            </w:r>
          </w:p>
        </w:tc>
      </w:tr>
      <w:tr>
        <w:tc>
          <w:tcPr/>
          <w:p>
            <w:pPr>
              <w:pStyle w:val="Compact"/>
              <w:jc w:val="left"/>
            </w:pPr>
            <w:r>
              <w:t xml:space="preserve">Transversal</w:t>
            </w:r>
          </w:p>
        </w:tc>
        <w:tc>
          <w:tcPr/>
          <w:p>
            <w:pPr>
              <w:pStyle w:val="Compact"/>
              <w:jc w:val="left"/>
            </w:pPr>
            <w:r>
              <w:t xml:space="preserve">Facilitación: conectividad, telefonía segura y papelería</w:t>
            </w:r>
          </w:p>
        </w:tc>
        <w:tc>
          <w:tcPr/>
          <w:p>
            <w:pPr>
              <w:pStyle w:val="Compact"/>
              <w:jc w:val="left"/>
            </w:pPr>
            <w:r>
              <w:t xml:space="preserve">$2.500.000</w:t>
            </w:r>
          </w:p>
        </w:tc>
      </w:tr>
      <w:tr>
        <w:tc>
          <w:tcPr/>
          <w:p>
            <w:pPr>
              <w:pStyle w:val="Compact"/>
            </w:pPr>
          </w:p>
        </w:tc>
        <w:tc>
          <w:tcPr/>
          <w:p>
            <w:pPr>
              <w:pStyle w:val="Compact"/>
              <w:jc w:val="left"/>
            </w:pPr>
            <w:r>
              <w:t xml:space="preserve">Complemento de los costos indirectos de administración</w:t>
            </w:r>
          </w:p>
        </w:tc>
        <w:tc>
          <w:tcPr/>
          <w:p>
            <w:pPr>
              <w:pStyle w:val="Compact"/>
              <w:jc w:val="left"/>
            </w:pPr>
            <w:r>
              <w:t xml:space="preserve">$2.500.000</w:t>
            </w:r>
          </w:p>
        </w:tc>
      </w:tr>
      <w:tr>
        <w:tc>
          <w:tcPr/>
          <w:p>
            <w:pPr>
              <w:pStyle w:val="Compact"/>
            </w:pPr>
          </w:p>
        </w:tc>
        <w:tc>
          <w:tcPr/>
          <w:p>
            <w:pPr>
              <w:pStyle w:val="Compact"/>
              <w:jc w:val="left"/>
            </w:pPr>
            <w:r>
              <w:t xml:space="preserve">Imprevistos y contingencias, asumidos por la Corporación</w:t>
            </w:r>
          </w:p>
        </w:tc>
        <w:tc>
          <w:tcPr/>
          <w:p>
            <w:pPr>
              <w:pStyle w:val="Compact"/>
              <w:jc w:val="left"/>
            </w:pPr>
            <w:r>
              <w:t xml:space="preserve">$3.214.286</w:t>
            </w:r>
          </w:p>
        </w:tc>
      </w:tr>
      <w:tr>
        <w:tc>
          <w:tcPr/>
          <w:p>
            <w:pPr>
              <w:pStyle w:val="Compact"/>
            </w:pPr>
          </w:p>
        </w:tc>
        <w:tc>
          <w:tcPr/>
          <w:p>
            <w:pPr>
              <w:pStyle w:val="Compact"/>
              <w:jc w:val="left"/>
            </w:pPr>
            <w:r>
              <w:t xml:space="preserve">TOTAL APORTE DE LA CORPORACIÓN</w:t>
            </w:r>
          </w:p>
        </w:tc>
        <w:tc>
          <w:tcPr/>
          <w:p>
            <w:pPr>
              <w:pStyle w:val="Compact"/>
              <w:jc w:val="left"/>
            </w:pPr>
            <w:r>
              <w:t xml:space="preserve">$85.714.286</w:t>
            </w:r>
          </w:p>
        </w:tc>
      </w:tr>
    </w:tbl>
    <w:p>
      <w:pPr>
        <w:pStyle w:val="BodyText"/>
      </w:pPr>
      <w:r>
        <w:t xml:space="preserve">El peso del componente de litigio merece consignarse de manera expresa: los productos 4 y 5 suman $117.000.000, el 58,5 % del aporte departamental, y la partida individual de mayor cuantía del proyecto es la contratación de los servicios jurídicos especializados por $78.500.000 (el 27,5 % del valor total), financiada íntegramente por la Gobernación. Los costos indirectos de administración reconocidos entre ambas fuentes suman $13.500.000, el 4,7 % del valor total; el excedente lo asume la Corporación. La contingencia del proyecto no se traslada al presupuesto departamental: la asume la Corporación con su aporte.</w:t>
      </w:r>
    </w:p>
    <w:bookmarkEnd w:id="42"/>
    <w:bookmarkStart w:id="43" w:name="talento-humano-y-escala-de-honorarios"/>
    <w:p>
      <w:pPr>
        <w:pStyle w:val="Heading2"/>
      </w:pPr>
      <w:r>
        <w:t xml:space="preserve">19. Talento humano y escala de honorarios</w:t>
      </w:r>
    </w:p>
    <w:p>
      <w:pPr>
        <w:pStyle w:val="FirstParagraph"/>
      </w:pPr>
      <w:r>
        <w:t xml:space="preserve">Los honorarios no se fijaron por estimación. Se construyeron a partir de una muestra de 480 contratos de prestación de servicios celebrados por entidades públicas con jurisdicción en Norte de Santander (Gobernación, municipio de San José de Cúcuta, Los Patios, Villa del Rosario, Ocaña y entidades nacionales con presencia regional) con fecha de inicio posterior a enero de 2025, extraídos del Sistema Electrónico de Contratación Pública a través del portal de datos abiertos del Estado. Los valores se mensualizaron dividiendo el valor del contrato entre su duración efectiva.</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Perfil</w:t>
            </w:r>
          </w:p>
        </w:tc>
        <w:tc>
          <w:tcPr/>
          <w:p>
            <w:pPr>
              <w:pStyle w:val="Compact"/>
              <w:jc w:val="left"/>
            </w:pPr>
            <w:r>
              <w:t xml:space="preserve">Percentil 25</w:t>
            </w:r>
          </w:p>
        </w:tc>
        <w:tc>
          <w:tcPr/>
          <w:p>
            <w:pPr>
              <w:pStyle w:val="Compact"/>
              <w:jc w:val="left"/>
            </w:pPr>
            <w:r>
              <w:t xml:space="preserve">Mediana regional</w:t>
            </w:r>
          </w:p>
        </w:tc>
        <w:tc>
          <w:tcPr/>
          <w:p>
            <w:pPr>
              <w:pStyle w:val="Compact"/>
              <w:jc w:val="left"/>
            </w:pPr>
            <w:r>
              <w:t xml:space="preserve">Percentil 75</w:t>
            </w:r>
          </w:p>
        </w:tc>
        <w:tc>
          <w:tcPr/>
          <w:p>
            <w:pPr>
              <w:pStyle w:val="Compact"/>
              <w:jc w:val="left"/>
            </w:pPr>
            <w:r>
              <w:t xml:space="preserve">Honorario adoptado</w:t>
            </w:r>
          </w:p>
        </w:tc>
        <w:tc>
          <w:tcPr/>
          <w:p>
            <w:pPr>
              <w:pStyle w:val="Compact"/>
              <w:jc w:val="left"/>
            </w:pPr>
            <w:r>
              <w:t xml:space="preserve">Criterio</w:t>
            </w:r>
          </w:p>
        </w:tc>
      </w:tr>
      <w:tr>
        <w:tc>
          <w:tcPr/>
          <w:p>
            <w:pPr>
              <w:pStyle w:val="Compact"/>
              <w:jc w:val="left"/>
            </w:pPr>
            <w:r>
              <w:t xml:space="preserve">Abogado(a)</w:t>
            </w:r>
          </w:p>
        </w:tc>
        <w:tc>
          <w:tcPr/>
          <w:p>
            <w:pPr>
              <w:pStyle w:val="Compact"/>
              <w:jc w:val="left"/>
            </w:pPr>
            <w:r>
              <w:t xml:space="preserve">3.504.605</w:t>
            </w:r>
          </w:p>
        </w:tc>
        <w:tc>
          <w:tcPr/>
          <w:p>
            <w:pPr>
              <w:pStyle w:val="Compact"/>
              <w:jc w:val="left"/>
            </w:pPr>
            <w:r>
              <w:t xml:space="preserve">3.732.747</w:t>
            </w:r>
          </w:p>
        </w:tc>
        <w:tc>
          <w:tcPr/>
          <w:p>
            <w:pPr>
              <w:pStyle w:val="Compact"/>
              <w:jc w:val="left"/>
            </w:pPr>
            <w:r>
              <w:t xml:space="preserve">4.505.921</w:t>
            </w:r>
          </w:p>
        </w:tc>
        <w:tc>
          <w:tcPr/>
          <w:p>
            <w:pPr>
              <w:pStyle w:val="Compact"/>
              <w:jc w:val="left"/>
            </w:pPr>
            <w:r>
              <w:t xml:space="preserve">3.700.000</w:t>
            </w:r>
          </w:p>
        </w:tc>
        <w:tc>
          <w:tcPr/>
          <w:p>
            <w:pPr>
              <w:pStyle w:val="Compact"/>
              <w:jc w:val="left"/>
            </w:pPr>
            <w:r>
              <w:t xml:space="preserve">Mediana regional</w:t>
            </w:r>
          </w:p>
        </w:tc>
      </w:tr>
      <w:tr>
        <w:tc>
          <w:tcPr/>
          <w:p>
            <w:pPr>
              <w:pStyle w:val="Compact"/>
              <w:jc w:val="left"/>
            </w:pPr>
            <w:r>
              <w:t xml:space="preserve">Coordinador(a)</w:t>
            </w:r>
          </w:p>
        </w:tc>
        <w:tc>
          <w:tcPr/>
          <w:p>
            <w:pPr>
              <w:pStyle w:val="Compact"/>
              <w:jc w:val="left"/>
            </w:pPr>
            <w:r>
              <w:t xml:space="preserve">2.984.314</w:t>
            </w:r>
          </w:p>
        </w:tc>
        <w:tc>
          <w:tcPr/>
          <w:p>
            <w:pPr>
              <w:pStyle w:val="Compact"/>
              <w:jc w:val="left"/>
            </w:pPr>
            <w:r>
              <w:t xml:space="preserve">3.499.157</w:t>
            </w:r>
          </w:p>
        </w:tc>
        <w:tc>
          <w:tcPr/>
          <w:p>
            <w:pPr>
              <w:pStyle w:val="Compact"/>
              <w:jc w:val="left"/>
            </w:pPr>
            <w:r>
              <w:t xml:space="preserve">5.029.089</w:t>
            </w:r>
          </w:p>
        </w:tc>
        <w:tc>
          <w:tcPr/>
          <w:p>
            <w:pPr>
              <w:pStyle w:val="Compact"/>
              <w:jc w:val="left"/>
            </w:pPr>
            <w:r>
              <w:t xml:space="preserve">5.500.000</w:t>
            </w:r>
          </w:p>
        </w:tc>
        <w:tc>
          <w:tcPr/>
          <w:p>
            <w:pPr>
              <w:pStyle w:val="Compact"/>
              <w:jc w:val="left"/>
            </w:pPr>
            <w:r>
              <w:t xml:space="preserve">Por encima del percentil 75, por responsabilidad de coordinación</w:t>
            </w:r>
          </w:p>
        </w:tc>
      </w:tr>
      <w:tr>
        <w:tc>
          <w:tcPr/>
          <w:p>
            <w:pPr>
              <w:pStyle w:val="Compact"/>
              <w:jc w:val="left"/>
            </w:pPr>
            <w:r>
              <w:t xml:space="preserve">Ingeniero(a) de sistemas / datos</w:t>
            </w:r>
          </w:p>
        </w:tc>
        <w:tc>
          <w:tcPr/>
          <w:p>
            <w:pPr>
              <w:pStyle w:val="Compact"/>
              <w:jc w:val="left"/>
            </w:pPr>
            <w:r>
              <w:t xml:space="preserve">3.472.415</w:t>
            </w:r>
          </w:p>
        </w:tc>
        <w:tc>
          <w:tcPr/>
          <w:p>
            <w:pPr>
              <w:pStyle w:val="Compact"/>
              <w:jc w:val="left"/>
            </w:pPr>
            <w:r>
              <w:t xml:space="preserve">3.855.733</w:t>
            </w:r>
          </w:p>
        </w:tc>
        <w:tc>
          <w:tcPr/>
          <w:p>
            <w:pPr>
              <w:pStyle w:val="Compact"/>
              <w:jc w:val="left"/>
            </w:pPr>
            <w:r>
              <w:t xml:space="preserve">4.425.508</w:t>
            </w:r>
          </w:p>
        </w:tc>
        <w:tc>
          <w:tcPr/>
          <w:p>
            <w:pPr>
              <w:pStyle w:val="Compact"/>
              <w:jc w:val="left"/>
            </w:pPr>
            <w:r>
              <w:t xml:space="preserve">4.000.000</w:t>
            </w:r>
          </w:p>
        </w:tc>
        <w:tc>
          <w:tcPr/>
          <w:p>
            <w:pPr>
              <w:pStyle w:val="Compact"/>
              <w:jc w:val="left"/>
            </w:pPr>
            <w:r>
              <w:t xml:space="preserve">Entre mediana y percentil 75</w:t>
            </w:r>
          </w:p>
        </w:tc>
      </w:tr>
      <w:tr>
        <w:tc>
          <w:tcPr/>
          <w:p>
            <w:pPr>
              <w:pStyle w:val="Compact"/>
              <w:jc w:val="left"/>
            </w:pPr>
            <w:r>
              <w:t xml:space="preserve">Analista de datos y estadística</w:t>
            </w:r>
          </w:p>
        </w:tc>
        <w:tc>
          <w:tcPr/>
          <w:p>
            <w:pPr>
              <w:pStyle w:val="Compact"/>
              <w:jc w:val="left"/>
            </w:pPr>
            <w:r>
              <w:t xml:space="preserve">3.472.415</w:t>
            </w:r>
          </w:p>
        </w:tc>
        <w:tc>
          <w:tcPr/>
          <w:p>
            <w:pPr>
              <w:pStyle w:val="Compact"/>
              <w:jc w:val="left"/>
            </w:pPr>
            <w:r>
              <w:t xml:space="preserve">3.855.733</w:t>
            </w:r>
          </w:p>
        </w:tc>
        <w:tc>
          <w:tcPr/>
          <w:p>
            <w:pPr>
              <w:pStyle w:val="Compact"/>
              <w:jc w:val="left"/>
            </w:pPr>
            <w:r>
              <w:t xml:space="preserve">4.425.508</w:t>
            </w:r>
          </w:p>
        </w:tc>
        <w:tc>
          <w:tcPr/>
          <w:p>
            <w:pPr>
              <w:pStyle w:val="Compact"/>
              <w:jc w:val="left"/>
            </w:pPr>
            <w:r>
              <w:t xml:space="preserve">4.200.000</w:t>
            </w:r>
          </w:p>
        </w:tc>
        <w:tc>
          <w:tcPr/>
          <w:p>
            <w:pPr>
              <w:pStyle w:val="Compact"/>
              <w:jc w:val="left"/>
            </w:pPr>
            <w:r>
              <w:t xml:space="preserve">Percentil 75 aproximado, perfil especializado</w:t>
            </w:r>
          </w:p>
        </w:tc>
      </w:tr>
      <w:tr>
        <w:tc>
          <w:tcPr/>
          <w:p>
            <w:pPr>
              <w:pStyle w:val="Compact"/>
              <w:jc w:val="left"/>
            </w:pPr>
            <w:r>
              <w:t xml:space="preserve">Psicólogo(a)</w:t>
            </w:r>
          </w:p>
        </w:tc>
        <w:tc>
          <w:tcPr/>
          <w:p>
            <w:pPr>
              <w:pStyle w:val="Compact"/>
              <w:jc w:val="left"/>
            </w:pPr>
            <w:r>
              <w:t xml:space="preserve">3.044.000</w:t>
            </w:r>
          </w:p>
        </w:tc>
        <w:tc>
          <w:tcPr/>
          <w:p>
            <w:pPr>
              <w:pStyle w:val="Compact"/>
              <w:jc w:val="left"/>
            </w:pPr>
            <w:r>
              <w:t xml:space="preserve">3.449.655</w:t>
            </w:r>
          </w:p>
        </w:tc>
        <w:tc>
          <w:tcPr/>
          <w:p>
            <w:pPr>
              <w:pStyle w:val="Compact"/>
              <w:jc w:val="left"/>
            </w:pPr>
            <w:r>
              <w:t xml:space="preserve">4.383.360</w:t>
            </w:r>
          </w:p>
        </w:tc>
        <w:tc>
          <w:tcPr/>
          <w:p>
            <w:pPr>
              <w:pStyle w:val="Compact"/>
              <w:jc w:val="left"/>
            </w:pPr>
            <w:r>
              <w:t xml:space="preserve">2.500.000</w:t>
            </w:r>
          </w:p>
        </w:tc>
        <w:tc>
          <w:tcPr/>
          <w:p>
            <w:pPr>
              <w:pStyle w:val="Compact"/>
              <w:jc w:val="left"/>
            </w:pPr>
            <w:r>
              <w:t xml:space="preserve">Medio tiempo, con tarifa plena de referencia superior a la mediana por perfil especializado</w:t>
            </w:r>
          </w:p>
        </w:tc>
      </w:tr>
      <w:tr>
        <w:tc>
          <w:tcPr/>
          <w:p>
            <w:pPr>
              <w:pStyle w:val="Compact"/>
              <w:jc w:val="left"/>
            </w:pPr>
            <w:r>
              <w:t xml:space="preserve">Profesional de enlace territorial</w:t>
            </w:r>
          </w:p>
        </w:tc>
        <w:tc>
          <w:tcPr/>
          <w:p>
            <w:pPr>
              <w:pStyle w:val="Compact"/>
              <w:jc w:val="left"/>
            </w:pPr>
            <w:r>
              <w:t xml:space="preserve">3.064.430</w:t>
            </w:r>
          </w:p>
        </w:tc>
        <w:tc>
          <w:tcPr/>
          <w:p>
            <w:pPr>
              <w:pStyle w:val="Compact"/>
              <w:jc w:val="left"/>
            </w:pPr>
            <w:r>
              <w:t xml:space="preserve">3.348.400</w:t>
            </w:r>
          </w:p>
        </w:tc>
        <w:tc>
          <w:tcPr/>
          <w:p>
            <w:pPr>
              <w:pStyle w:val="Compact"/>
              <w:jc w:val="left"/>
            </w:pPr>
            <w:r>
              <w:t xml:space="preserve">3.855.733</w:t>
            </w:r>
          </w:p>
        </w:tc>
        <w:tc>
          <w:tcPr/>
          <w:p>
            <w:pPr>
              <w:pStyle w:val="Compact"/>
              <w:jc w:val="left"/>
            </w:pPr>
            <w:r>
              <w:t xml:space="preserve">3.500.000</w:t>
            </w:r>
          </w:p>
        </w:tc>
        <w:tc>
          <w:tcPr/>
          <w:p>
            <w:pPr>
              <w:pStyle w:val="Compact"/>
              <w:jc w:val="left"/>
            </w:pPr>
            <w:r>
              <w:t xml:space="preserve">Mediana regional más factor de desplazamiento</w:t>
            </w:r>
          </w:p>
        </w:tc>
      </w:tr>
      <w:tr>
        <w:tc>
          <w:tcPr/>
          <w:p>
            <w:pPr>
              <w:pStyle w:val="Compact"/>
              <w:jc w:val="left"/>
            </w:pPr>
            <w:r>
              <w:t xml:space="preserve">Administrador(a) - contador(a)</w:t>
            </w:r>
          </w:p>
        </w:tc>
        <w:tc>
          <w:tcPr/>
          <w:p>
            <w:pPr>
              <w:pStyle w:val="Compact"/>
              <w:jc w:val="left"/>
            </w:pPr>
            <w:r>
              <w:t xml:space="preserve">3.064.430</w:t>
            </w:r>
          </w:p>
        </w:tc>
        <w:tc>
          <w:tcPr/>
          <w:p>
            <w:pPr>
              <w:pStyle w:val="Compact"/>
              <w:jc w:val="left"/>
            </w:pPr>
            <w:r>
              <w:t xml:space="preserve">3.348.400</w:t>
            </w:r>
          </w:p>
        </w:tc>
        <w:tc>
          <w:tcPr/>
          <w:p>
            <w:pPr>
              <w:pStyle w:val="Compact"/>
              <w:jc w:val="left"/>
            </w:pPr>
            <w:r>
              <w:t xml:space="preserve">3.855.733</w:t>
            </w:r>
          </w:p>
        </w:tc>
        <w:tc>
          <w:tcPr/>
          <w:p>
            <w:pPr>
              <w:pStyle w:val="Compact"/>
              <w:jc w:val="left"/>
            </w:pPr>
            <w:r>
              <w:t xml:space="preserve">3.500.000</w:t>
            </w:r>
          </w:p>
        </w:tc>
        <w:tc>
          <w:tcPr/>
          <w:p>
            <w:pPr>
              <w:pStyle w:val="Compact"/>
              <w:jc w:val="left"/>
            </w:pPr>
            <w:r>
              <w:t xml:space="preserve">Mediana regional</w:t>
            </w:r>
          </w:p>
        </w:tc>
      </w:tr>
      <w:tr>
        <w:tc>
          <w:tcPr/>
          <w:p>
            <w:pPr>
              <w:pStyle w:val="Compact"/>
              <w:jc w:val="left"/>
            </w:pPr>
            <w:r>
              <w:t xml:space="preserve">Director(a) de proyecto</w:t>
            </w:r>
          </w:p>
        </w:tc>
        <w:tc>
          <w:tcPr/>
          <w:p>
            <w:pPr>
              <w:pStyle w:val="Compact"/>
              <w:jc w:val="left"/>
            </w:pPr>
            <w:r>
              <w:t xml:space="preserve">2.984.314</w:t>
            </w:r>
          </w:p>
        </w:tc>
        <w:tc>
          <w:tcPr/>
          <w:p>
            <w:pPr>
              <w:pStyle w:val="Compact"/>
              <w:jc w:val="left"/>
            </w:pPr>
            <w:r>
              <w:t xml:space="preserve">3.499.157</w:t>
            </w:r>
          </w:p>
        </w:tc>
        <w:tc>
          <w:tcPr/>
          <w:p>
            <w:pPr>
              <w:pStyle w:val="Compact"/>
              <w:jc w:val="left"/>
            </w:pPr>
            <w:r>
              <w:t xml:space="preserve">5.029.089</w:t>
            </w:r>
          </w:p>
        </w:tc>
        <w:tc>
          <w:tcPr/>
          <w:p>
            <w:pPr>
              <w:pStyle w:val="Compact"/>
              <w:jc w:val="left"/>
            </w:pPr>
            <w:r>
              <w:t xml:space="preserve">6.500.000</w:t>
            </w:r>
          </w:p>
        </w:tc>
        <w:tc>
          <w:tcPr/>
          <w:p>
            <w:pPr>
              <w:pStyle w:val="Compact"/>
              <w:jc w:val="left"/>
            </w:pPr>
            <w:r>
              <w:t xml:space="preserve">Por encima del percentil 75 y dentro del rango máximo observado</w:t>
            </w:r>
          </w:p>
        </w:tc>
      </w:tr>
    </w:tbl>
    <w:p>
      <w:pPr>
        <w:pStyle w:val="BodyText"/>
      </w:pPr>
      <w:r>
        <w:t xml:space="preserve">Como referencias adicionales de contraste: la Gobernación de Norte de Santander contrató en 2025 abogados especializados en un rango mensual de $4.089.924 a $5.619.859, y la Regional Norte de Santander de la Defensoría del Pueblo contrató servicios profesionales de orientación, asesoría y acompañamiento jurídico a víctimas del conflicto armado en Cúcuta por $5.500.000 mensuales. La escala adoptada se sitúa dentro de esas bandas.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Perfil</w:t>
            </w:r>
          </w:p>
        </w:tc>
        <w:tc>
          <w:tcPr/>
          <w:p>
            <w:pPr>
              <w:pStyle w:val="Compact"/>
              <w:jc w:val="left"/>
            </w:pPr>
            <w:r>
              <w:t xml:space="preserve">Formación y experiencia</w:t>
            </w:r>
          </w:p>
        </w:tc>
        <w:tc>
          <w:tcPr/>
          <w:p>
            <w:pPr>
              <w:pStyle w:val="Compact"/>
              <w:jc w:val="left"/>
            </w:pPr>
            <w:r>
              <w:t xml:space="preserve">Honorario mensual</w:t>
            </w:r>
          </w:p>
        </w:tc>
        <w:tc>
          <w:tcPr/>
          <w:p>
            <w:pPr>
              <w:pStyle w:val="Compact"/>
              <w:jc w:val="left"/>
            </w:pPr>
            <w:r>
              <w:t xml:space="preserve">Total 2,5 meses</w:t>
            </w:r>
          </w:p>
        </w:tc>
        <w:tc>
          <w:tcPr/>
          <w:p>
            <w:pPr>
              <w:pStyle w:val="Compact"/>
              <w:jc w:val="left"/>
            </w:pPr>
            <w:r>
              <w:t xml:space="preserve">Producto</w:t>
            </w:r>
          </w:p>
        </w:tc>
      </w:tr>
      <w:tr>
        <w:tc>
          <w:tcPr/>
          <w:p>
            <w:pPr>
              <w:pStyle w:val="Compact"/>
              <w:jc w:val="left"/>
            </w:pPr>
            <w:r>
              <w:t xml:space="preserve">Director(a) general del proyecto</w:t>
            </w:r>
          </w:p>
        </w:tc>
        <w:tc>
          <w:tcPr/>
          <w:p>
            <w:pPr>
              <w:pStyle w:val="Compact"/>
              <w:jc w:val="left"/>
            </w:pPr>
            <w:r>
              <w:t xml:space="preserve">Abogado(a) con maestría, 10 o más años</w:t>
            </w:r>
          </w:p>
        </w:tc>
        <w:tc>
          <w:tcPr/>
          <w:p>
            <w:pPr>
              <w:pStyle w:val="Compact"/>
              <w:jc w:val="left"/>
            </w:pPr>
            <w:r>
              <w:t xml:space="preserve">$6.500.000</w:t>
            </w:r>
          </w:p>
        </w:tc>
        <w:tc>
          <w:tcPr/>
          <w:p>
            <w:pPr>
              <w:pStyle w:val="Compact"/>
              <w:jc w:val="left"/>
            </w:pPr>
            <w:r>
              <w:t xml:space="preserve">$16.250.000</w:t>
            </w:r>
          </w:p>
        </w:tc>
        <w:tc>
          <w:tcPr/>
          <w:p>
            <w:pPr>
              <w:pStyle w:val="Compact"/>
              <w:jc w:val="left"/>
            </w:pPr>
            <w:r>
              <w:t xml:space="preserve">Transversal</w:t>
            </w:r>
          </w:p>
        </w:tc>
      </w:tr>
      <w:tr>
        <w:tc>
          <w:tcPr/>
          <w:p>
            <w:pPr>
              <w:pStyle w:val="Compact"/>
              <w:jc w:val="left"/>
            </w:pPr>
            <w:r>
              <w:t xml:space="preserve">Coordinador(a) del observatorio</w:t>
            </w:r>
          </w:p>
        </w:tc>
        <w:tc>
          <w:tcPr/>
          <w:p>
            <w:pPr>
              <w:pStyle w:val="Compact"/>
              <w:jc w:val="left"/>
            </w:pPr>
            <w:r>
              <w:t xml:space="preserve">Investigador(a) con maestría, 8 o más años</w:t>
            </w:r>
          </w:p>
        </w:tc>
        <w:tc>
          <w:tcPr/>
          <w:p>
            <w:pPr>
              <w:pStyle w:val="Compact"/>
              <w:jc w:val="left"/>
            </w:pPr>
            <w:r>
              <w:t xml:space="preserve">$5.500.000</w:t>
            </w:r>
          </w:p>
        </w:tc>
        <w:tc>
          <w:tcPr/>
          <w:p>
            <w:pPr>
              <w:pStyle w:val="Compact"/>
              <w:jc w:val="left"/>
            </w:pPr>
            <w:r>
              <w:t xml:space="preserve">$13.750.000</w:t>
            </w:r>
          </w:p>
        </w:tc>
        <w:tc>
          <w:tcPr/>
          <w:p>
            <w:pPr>
              <w:pStyle w:val="Compact"/>
              <w:jc w:val="left"/>
            </w:pPr>
            <w:r>
              <w:t xml:space="preserve">Producto 2</w:t>
            </w:r>
          </w:p>
        </w:tc>
      </w:tr>
      <w:tr>
        <w:tc>
          <w:tcPr/>
          <w:p>
            <w:pPr>
              <w:pStyle w:val="Compact"/>
              <w:jc w:val="left"/>
            </w:pPr>
            <w:r>
              <w:t xml:space="preserve">Coordinador(a) jurídico(a) y supervisor(a) del subcontrato</w:t>
            </w:r>
          </w:p>
        </w:tc>
        <w:tc>
          <w:tcPr/>
          <w:p>
            <w:pPr>
              <w:pStyle w:val="Compact"/>
              <w:jc w:val="left"/>
            </w:pPr>
            <w:r>
              <w:t xml:space="preserve">Abogado(a) especialista en DDHH, 8 o más años</w:t>
            </w:r>
          </w:p>
        </w:tc>
        <w:tc>
          <w:tcPr/>
          <w:p>
            <w:pPr>
              <w:pStyle w:val="Compact"/>
              <w:jc w:val="left"/>
            </w:pPr>
            <w:r>
              <w:t xml:space="preserve">$5.500.000</w:t>
            </w:r>
          </w:p>
        </w:tc>
        <w:tc>
          <w:tcPr/>
          <w:p>
            <w:pPr>
              <w:pStyle w:val="Compact"/>
              <w:jc w:val="left"/>
            </w:pPr>
            <w:r>
              <w:t xml:space="preserve">$13.750.000</w:t>
            </w:r>
          </w:p>
        </w:tc>
        <w:tc>
          <w:tcPr/>
          <w:p>
            <w:pPr>
              <w:pStyle w:val="Compact"/>
              <w:jc w:val="left"/>
            </w:pPr>
            <w:r>
              <w:t xml:space="preserve">Producto 4</w:t>
            </w:r>
          </w:p>
        </w:tc>
      </w:tr>
      <w:tr>
        <w:tc>
          <w:tcPr/>
          <w:p>
            <w:pPr>
              <w:pStyle w:val="Compact"/>
              <w:jc w:val="left"/>
            </w:pPr>
            <w:r>
              <w:t xml:space="preserve">Abogado(a) de documentación y sustanciación de casos</w:t>
            </w:r>
          </w:p>
        </w:tc>
        <w:tc>
          <w:tcPr/>
          <w:p>
            <w:pPr>
              <w:pStyle w:val="Compact"/>
              <w:jc w:val="left"/>
            </w:pPr>
            <w:r>
              <w:t xml:space="preserve">Abogado(a), 2 o más años</w:t>
            </w:r>
          </w:p>
        </w:tc>
        <w:tc>
          <w:tcPr/>
          <w:p>
            <w:pPr>
              <w:pStyle w:val="Compact"/>
              <w:jc w:val="left"/>
            </w:pPr>
            <w:r>
              <w:t xml:space="preserve">$3.700.000</w:t>
            </w:r>
          </w:p>
        </w:tc>
        <w:tc>
          <w:tcPr/>
          <w:p>
            <w:pPr>
              <w:pStyle w:val="Compact"/>
              <w:jc w:val="left"/>
            </w:pPr>
            <w:r>
              <w:t xml:space="preserve">$9.250.000</w:t>
            </w:r>
          </w:p>
        </w:tc>
        <w:tc>
          <w:tcPr/>
          <w:p>
            <w:pPr>
              <w:pStyle w:val="Compact"/>
              <w:jc w:val="left"/>
            </w:pPr>
            <w:r>
              <w:t xml:space="preserve">Producto 4</w:t>
            </w:r>
          </w:p>
        </w:tc>
      </w:tr>
      <w:tr>
        <w:tc>
          <w:tcPr/>
          <w:p>
            <w:pPr>
              <w:pStyle w:val="Compact"/>
              <w:jc w:val="left"/>
            </w:pPr>
            <w:r>
              <w:t xml:space="preserve">Abogado(a) de rutas de protección (UNP/CERREM)</w:t>
            </w:r>
          </w:p>
        </w:tc>
        <w:tc>
          <w:tcPr/>
          <w:p>
            <w:pPr>
              <w:pStyle w:val="Compact"/>
              <w:jc w:val="left"/>
            </w:pPr>
            <w:r>
              <w:t xml:space="preserve">Abogado(a), 2 o más años</w:t>
            </w:r>
          </w:p>
        </w:tc>
        <w:tc>
          <w:tcPr/>
          <w:p>
            <w:pPr>
              <w:pStyle w:val="Compact"/>
              <w:jc w:val="left"/>
            </w:pPr>
            <w:r>
              <w:t xml:space="preserve">$3.700.000</w:t>
            </w:r>
          </w:p>
        </w:tc>
        <w:tc>
          <w:tcPr/>
          <w:p>
            <w:pPr>
              <w:pStyle w:val="Compact"/>
              <w:jc w:val="left"/>
            </w:pPr>
            <w:r>
              <w:t xml:space="preserve">$9.250.000</w:t>
            </w:r>
          </w:p>
        </w:tc>
        <w:tc>
          <w:tcPr/>
          <w:p>
            <w:pPr>
              <w:pStyle w:val="Compact"/>
              <w:jc w:val="left"/>
            </w:pPr>
            <w:r>
              <w:t xml:space="preserve">Producto 5</w:t>
            </w:r>
          </w:p>
        </w:tc>
      </w:tr>
      <w:tr>
        <w:tc>
          <w:tcPr/>
          <w:p>
            <w:pPr>
              <w:pStyle w:val="Compact"/>
              <w:jc w:val="left"/>
            </w:pPr>
            <w:r>
              <w:t xml:space="preserve">Analista de datos y estadística</w:t>
            </w:r>
          </w:p>
        </w:tc>
        <w:tc>
          <w:tcPr/>
          <w:p>
            <w:pPr>
              <w:pStyle w:val="Compact"/>
              <w:jc w:val="left"/>
            </w:pPr>
            <w:r>
              <w:t xml:space="preserve">Profesional en estadística, economía o afines, 3 o más años</w:t>
            </w:r>
          </w:p>
        </w:tc>
        <w:tc>
          <w:tcPr/>
          <w:p>
            <w:pPr>
              <w:pStyle w:val="Compact"/>
              <w:jc w:val="left"/>
            </w:pPr>
            <w:r>
              <w:t xml:space="preserve">$4.200.000</w:t>
            </w:r>
          </w:p>
        </w:tc>
        <w:tc>
          <w:tcPr/>
          <w:p>
            <w:pPr>
              <w:pStyle w:val="Compact"/>
              <w:jc w:val="left"/>
            </w:pPr>
            <w:r>
              <w:t xml:space="preserve">$10.500.000</w:t>
            </w:r>
          </w:p>
        </w:tc>
        <w:tc>
          <w:tcPr/>
          <w:p>
            <w:pPr>
              <w:pStyle w:val="Compact"/>
              <w:jc w:val="left"/>
            </w:pPr>
            <w:r>
              <w:t xml:space="preserve">Producto 3</w:t>
            </w:r>
          </w:p>
        </w:tc>
      </w:tr>
      <w:tr>
        <w:tc>
          <w:tcPr/>
          <w:p>
            <w:pPr>
              <w:pStyle w:val="Compact"/>
              <w:jc w:val="left"/>
            </w:pPr>
            <w:r>
              <w:t xml:space="preserve">Ingeniero(a) de datos y seguridad de la información</w:t>
            </w:r>
          </w:p>
        </w:tc>
        <w:tc>
          <w:tcPr/>
          <w:p>
            <w:pPr>
              <w:pStyle w:val="Compact"/>
              <w:jc w:val="left"/>
            </w:pPr>
            <w:r>
              <w:t xml:space="preserve">Profesional en sistemas, 3 o más años</w:t>
            </w:r>
          </w:p>
        </w:tc>
        <w:tc>
          <w:tcPr/>
          <w:p>
            <w:pPr>
              <w:pStyle w:val="Compact"/>
              <w:jc w:val="left"/>
            </w:pPr>
            <w:r>
              <w:t xml:space="preserve">$4.000.000</w:t>
            </w:r>
          </w:p>
        </w:tc>
        <w:tc>
          <w:tcPr/>
          <w:p>
            <w:pPr>
              <w:pStyle w:val="Compact"/>
              <w:jc w:val="left"/>
            </w:pPr>
            <w:r>
              <w:t xml:space="preserve">$10.000.000</w:t>
            </w:r>
          </w:p>
        </w:tc>
        <w:tc>
          <w:tcPr/>
          <w:p>
            <w:pPr>
              <w:pStyle w:val="Compact"/>
              <w:jc w:val="left"/>
            </w:pPr>
            <w:r>
              <w:t xml:space="preserve">Producto 1</w:t>
            </w:r>
          </w:p>
        </w:tc>
      </w:tr>
      <w:tr>
        <w:tc>
          <w:tcPr/>
          <w:p>
            <w:pPr>
              <w:pStyle w:val="Compact"/>
              <w:jc w:val="left"/>
            </w:pPr>
            <w:r>
              <w:t xml:space="preserve">Enlace territorial subregional (Catatumbo y Ocaña) (2)</w:t>
            </w:r>
          </w:p>
        </w:tc>
        <w:tc>
          <w:tcPr/>
          <w:p>
            <w:pPr>
              <w:pStyle w:val="Compact"/>
              <w:jc w:val="left"/>
            </w:pPr>
            <w:r>
              <w:t xml:space="preserve">Profesional, 3 o más años, residente en la subregión</w:t>
            </w:r>
          </w:p>
        </w:tc>
        <w:tc>
          <w:tcPr/>
          <w:p>
            <w:pPr>
              <w:pStyle w:val="Compact"/>
              <w:jc w:val="left"/>
            </w:pPr>
            <w:r>
              <w:t xml:space="preserve">$3.500.000</w:t>
            </w:r>
          </w:p>
        </w:tc>
        <w:tc>
          <w:tcPr/>
          <w:p>
            <w:pPr>
              <w:pStyle w:val="Compact"/>
              <w:jc w:val="left"/>
            </w:pPr>
            <w:r>
              <w:t xml:space="preserve">$17.500.000</w:t>
            </w:r>
          </w:p>
        </w:tc>
        <w:tc>
          <w:tcPr/>
          <w:p>
            <w:pPr>
              <w:pStyle w:val="Compact"/>
              <w:jc w:val="left"/>
            </w:pPr>
            <w:r>
              <w:t xml:space="preserve">Producto 2</w:t>
            </w:r>
          </w:p>
        </w:tc>
      </w:tr>
      <w:tr>
        <w:tc>
          <w:tcPr/>
          <w:p>
            <w:pPr>
              <w:pStyle w:val="Compact"/>
              <w:jc w:val="left"/>
            </w:pPr>
            <w:r>
              <w:t xml:space="preserve">Psicólogo(a) de acompañamiento psicosocial</w:t>
            </w:r>
          </w:p>
        </w:tc>
        <w:tc>
          <w:tcPr/>
          <w:p>
            <w:pPr>
              <w:pStyle w:val="Compact"/>
              <w:jc w:val="left"/>
            </w:pPr>
            <w:r>
              <w:t xml:space="preserve">Profesional, 3 o más años, medio tiempo</w:t>
            </w:r>
          </w:p>
        </w:tc>
        <w:tc>
          <w:tcPr/>
          <w:p>
            <w:pPr>
              <w:pStyle w:val="Compact"/>
              <w:jc w:val="left"/>
            </w:pPr>
            <w:r>
              <w:t xml:space="preserve">$2.500.000</w:t>
            </w:r>
          </w:p>
        </w:tc>
        <w:tc>
          <w:tcPr/>
          <w:p>
            <w:pPr>
              <w:pStyle w:val="Compact"/>
              <w:jc w:val="left"/>
            </w:pPr>
            <w:r>
              <w:t xml:space="preserve">$6.250.000</w:t>
            </w:r>
          </w:p>
        </w:tc>
        <w:tc>
          <w:tcPr/>
          <w:p>
            <w:pPr>
              <w:pStyle w:val="Compact"/>
              <w:jc w:val="left"/>
            </w:pPr>
            <w:r>
              <w:t xml:space="preserve">Producto 5</w:t>
            </w:r>
          </w:p>
        </w:tc>
      </w:tr>
      <w:tr>
        <w:tc>
          <w:tcPr/>
          <w:p>
            <w:pPr>
              <w:pStyle w:val="Compact"/>
              <w:jc w:val="left"/>
            </w:pPr>
            <w:r>
              <w:t xml:space="preserve">Administrador(a) - contador(a) del contrato</w:t>
            </w:r>
          </w:p>
        </w:tc>
        <w:tc>
          <w:tcPr/>
          <w:p>
            <w:pPr>
              <w:pStyle w:val="Compact"/>
              <w:jc w:val="left"/>
            </w:pPr>
            <w:r>
              <w:t xml:space="preserve">Profesional con posgrado, 5 o más años</w:t>
            </w:r>
          </w:p>
        </w:tc>
        <w:tc>
          <w:tcPr/>
          <w:p>
            <w:pPr>
              <w:pStyle w:val="Compact"/>
              <w:jc w:val="left"/>
            </w:pPr>
            <w:r>
              <w:t xml:space="preserve">$3.500.000</w:t>
            </w:r>
          </w:p>
        </w:tc>
        <w:tc>
          <w:tcPr/>
          <w:p>
            <w:pPr>
              <w:pStyle w:val="Compact"/>
              <w:jc w:val="left"/>
            </w:pPr>
            <w:r>
              <w:t xml:space="preserve">$8.750.000</w:t>
            </w:r>
          </w:p>
        </w:tc>
        <w:tc>
          <w:tcPr/>
          <w:p>
            <w:pPr>
              <w:pStyle w:val="Compact"/>
              <w:jc w:val="left"/>
            </w:pPr>
            <w:r>
              <w:t xml:space="preserve">Transversal</w:t>
            </w:r>
          </w:p>
        </w:tc>
      </w:tr>
      <w:tr>
        <w:tc>
          <w:tcPr/>
          <w:p>
            <w:pPr>
              <w:pStyle w:val="Compact"/>
              <w:jc w:val="left"/>
            </w:pPr>
            <w:r>
              <w:t xml:space="preserve">Total - 11 personas, 10 perfiles</w:t>
            </w:r>
          </w:p>
        </w:tc>
        <w:tc>
          <w:tcPr/>
          <w:p>
            <w:pPr>
              <w:pStyle w:val="Compact"/>
            </w:pPr>
          </w:p>
        </w:tc>
        <w:tc>
          <w:tcPr/>
          <w:p>
            <w:pPr>
              <w:pStyle w:val="Compact"/>
            </w:pPr>
          </w:p>
        </w:tc>
        <w:tc>
          <w:tcPr/>
          <w:p>
            <w:pPr>
              <w:pStyle w:val="Compact"/>
              <w:jc w:val="left"/>
            </w:pPr>
            <w:r>
              <w:t xml:space="preserve">$115.250.000</w:t>
            </w:r>
          </w:p>
        </w:tc>
        <w:tc>
          <w:tcPr/>
          <w:p>
            <w:pPr>
              <w:pStyle w:val="Compact"/>
            </w:pPr>
          </w:p>
        </w:tc>
      </w:tr>
    </w:tbl>
    <w:p>
      <w:pPr>
        <w:pStyle w:val="BodyText"/>
      </w:pPr>
      <w:r>
        <w:t xml:space="preserve">El equipo propio y el subcontrato de servicios jurídicos concentran juntos el 67,8 % del valor total. Es la estructura esperable en un proyecto cuyo producto es conocimiento y actuación jurídica, no obra ni dotación. Solo la dirección general y las dos coordinaciones se fijan por encima del percentil 75 de la muestra, por la responsabilidad que asumen; el perfil que más se aparta es la dirección general, fijada en $6.500.000, que se sustenta en que el máximo observado para perfiles de coordinación en la muestra supera los doce millones mensuales y en que el cargo asume la representación del contrato, la responsabilidad técnica del informe y la supervisión del subcontrato.</w:t>
      </w:r>
    </w:p>
    <w:p>
      <w:pPr>
        <w:pStyle w:val="BodyText"/>
      </w:pPr>
      <w:r>
        <w:t xml:space="preserve">Los valores deben homologarse antes de radicar con la resolución de honorarios vigente de la Gobernación [verificar]. Contratar once personas en la primera semana solo es viable si el equipo está preseleccionado antes del acta de inicio; es una condición de ejecución, no una recomendación.</w:t>
      </w:r>
    </w:p>
    <w:bookmarkEnd w:id="43"/>
    <w:bookmarkStart w:id="44" w:name="X16e2c4d3617f5f3ce451f83cdfd6923d4ff1633"/>
    <w:p>
      <w:pPr>
        <w:pStyle w:val="Heading2"/>
      </w:pPr>
      <w:r>
        <w:t xml:space="preserve">20. Fuentes de financiación y modalidad de contratación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Fuente</w:t>
            </w:r>
          </w:p>
        </w:tc>
        <w:tc>
          <w:tcPr/>
          <w:p>
            <w:pPr>
              <w:pStyle w:val="Compact"/>
              <w:jc w:val="left"/>
            </w:pPr>
            <w:r>
              <w:t xml:space="preserve">Valor</w:t>
            </w:r>
          </w:p>
        </w:tc>
        <w:tc>
          <w:tcPr/>
          <w:p>
            <w:pPr>
              <w:pStyle w:val="Compact"/>
              <w:jc w:val="left"/>
            </w:pPr>
            <w:r>
              <w:t xml:space="preserve">%</w:t>
            </w:r>
          </w:p>
        </w:tc>
      </w:tr>
      <w:tr>
        <w:tc>
          <w:tcPr/>
          <w:p>
            <w:pPr>
              <w:pStyle w:val="Compact"/>
              <w:jc w:val="left"/>
            </w:pPr>
            <w:r>
              <w:t xml:space="preserve">Gobernación de Norte de Santander - recursos de inversión, en dinero</w:t>
            </w:r>
          </w:p>
        </w:tc>
        <w:tc>
          <w:tcPr/>
          <w:p>
            <w:pPr>
              <w:pStyle w:val="Compact"/>
              <w:jc w:val="left"/>
            </w:pPr>
            <w:r>
              <w:t xml:space="preserve">$200.000.000</w:t>
            </w:r>
          </w:p>
        </w:tc>
        <w:tc>
          <w:tcPr/>
          <w:p>
            <w:pPr>
              <w:pStyle w:val="Compact"/>
              <w:jc w:val="left"/>
            </w:pPr>
            <w:r>
              <w:t xml:space="preserve">70,0 %</w:t>
            </w:r>
          </w:p>
        </w:tc>
      </w:tr>
      <w:tr>
        <w:tc>
          <w:tcPr/>
          <w:p>
            <w:pPr>
              <w:pStyle w:val="Compact"/>
              <w:jc w:val="left"/>
            </w:pPr>
            <w:r>
              <w:t xml:space="preserve">Corporación - recursos propios o de cooperación internacional, en dinero</w:t>
            </w:r>
          </w:p>
        </w:tc>
        <w:tc>
          <w:tcPr/>
          <w:p>
            <w:pPr>
              <w:pStyle w:val="Compact"/>
              <w:jc w:val="left"/>
            </w:pPr>
            <w:r>
              <w:t xml:space="preserve">$85.714.286</w:t>
            </w:r>
          </w:p>
        </w:tc>
        <w:tc>
          <w:tcPr/>
          <w:p>
            <w:pPr>
              <w:pStyle w:val="Compact"/>
              <w:jc w:val="left"/>
            </w:pPr>
            <w:r>
              <w:t xml:space="preserve">30,0 %</w:t>
            </w:r>
          </w:p>
        </w:tc>
      </w:tr>
      <w:tr>
        <w:tc>
          <w:tcPr/>
          <w:p>
            <w:pPr>
              <w:pStyle w:val="Compact"/>
              <w:jc w:val="left"/>
            </w:pPr>
            <w:r>
              <w:t xml:space="preserve">VALOR TOTAL DEL CONVENIO</w:t>
            </w:r>
          </w:p>
        </w:tc>
        <w:tc>
          <w:tcPr/>
          <w:p>
            <w:pPr>
              <w:pStyle w:val="Compact"/>
              <w:jc w:val="left"/>
            </w:pPr>
            <w:r>
              <w:t xml:space="preserve">$285.714.286</w:t>
            </w:r>
          </w:p>
        </w:tc>
        <w:tc>
          <w:tcPr/>
          <w:p>
            <w:pPr>
              <w:pStyle w:val="Compact"/>
              <w:jc w:val="left"/>
            </w:pPr>
            <w:r>
              <w:t xml:space="preserve">100 %</w:t>
            </w:r>
          </w:p>
        </w:tc>
      </w:tr>
    </w:tbl>
    <w:p>
      <w:pPr>
        <w:pStyle w:val="BodyText"/>
      </w:pPr>
      <w:r>
        <w:t xml:space="preserve">Modalidad: convenio de asociación del artículo 96 de la Ley 489 de 1998, celebrado de manera directa conforme al artículo 5 del Decreto 092 de 2017, que lo permite cuando la entidad sin ánimo de lucro compromete recursos en dinero por una proporción no inferior al 30 % del valor total del convenio.</w:t>
      </w:r>
    </w:p>
    <w:p>
      <w:pPr>
        <w:pStyle w:val="BodyText"/>
      </w:pPr>
      <w:r>
        <w:t xml:space="preserve">Una precisión aritmética que conviene dejar explícita: el 30 % se calcula sobre el valor total del convenio, no sobre el aporte de la Gobernación. Con $200.000.000 departamentales como el 70 %, el aporte de la Corporación es de $85.714.286 (200.000.000 multiplicado por 30 y dividido entre 70) y el valor total asciende a $285.714.286. Un aporte de $60.000.000 (el 30 % de 200 millones) representaría apenas el 23,1 % del valor total resultante y no habilitaría la celebración directa. Los aportes en especie no computan para el umbral, razón por la cual el aporte se pacta íntegramente en dinero, incluido el costo del equipo propio que la Corporación dedica al informe. Conforme a la doctrina de Colombia Compra Eficiente, esos recursos pueden ser propios o provenir de cooperación internacional.</w:t>
      </w:r>
    </w:p>
    <w:p>
      <w:pPr>
        <w:pStyle w:val="BodyText"/>
      </w:pPr>
      <w:r>
        <w:t xml:space="preserve">Tres reglas gobiernan el aporte y deben quedar en los estudios previos y en el clausulado:</w:t>
      </w:r>
    </w:p>
    <w:p>
      <w:pPr>
        <w:pStyle w:val="BodyText"/>
      </w:pPr>
      <w:r>
        <w:t xml:space="preserve">La acreditación es previa. La Corporación debe acreditar los $85.714.286 al momento de radicar, mediante extractos, certificación de revisor fiscal o convenios de cooperación suscritos.</w:t>
      </w:r>
    </w:p>
    <w:p>
      <w:pPr>
        <w:pStyle w:val="BodyText"/>
      </w:pPr>
      <w:r>
        <w:t xml:space="preserve">El ajuste es proporcional. Si el aporte de la Corporación varía, el valor total del convenio debe recalcularse como el aporte dividido entre 0,30 y el aporte departamental ajustarse en proporción; de lo contrario se pierde la habilitación para contratar directamente y la ruta pasa a ser el proceso competitivo.</w:t>
      </w:r>
    </w:p>
    <w:p>
      <w:pPr>
        <w:pStyle w:val="BodyText"/>
      </w:pPr>
      <w:r>
        <w:t xml:space="preserve">La pluralidad se resuelve con selección objetiva. Si más de una entidad sin ánimo de lucro ofreciera comprometer el 30 % en dinero para este programa, la Gobernación debe seleccionar de forma objetiva y justificar los criterios de la escogencia.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Aplicación del aporte de la Corporación</w:t>
            </w:r>
          </w:p>
        </w:tc>
        <w:tc>
          <w:tcPr/>
          <w:p>
            <w:pPr>
              <w:pStyle w:val="Compact"/>
              <w:jc w:val="left"/>
            </w:pPr>
            <w:r>
              <w:t xml:space="preserve">Valor</w:t>
            </w:r>
          </w:p>
        </w:tc>
      </w:tr>
      <w:tr>
        <w:tc>
          <w:tcPr/>
          <w:p>
            <w:pPr>
              <w:pStyle w:val="Compact"/>
              <w:jc w:val="left"/>
            </w:pPr>
            <w:r>
              <w:t xml:space="preserve">Producto 1 - Sistema de información (modelo de datos, plataforma y alquiler de equipos cifrados)</w:t>
            </w:r>
          </w:p>
        </w:tc>
        <w:tc>
          <w:tcPr/>
          <w:p>
            <w:pPr>
              <w:pStyle w:val="Compact"/>
              <w:jc w:val="left"/>
            </w:pPr>
            <w:r>
              <w:t xml:space="preserve">$28.000.000</w:t>
            </w:r>
          </w:p>
        </w:tc>
      </w:tr>
      <w:tr>
        <w:tc>
          <w:tcPr/>
          <w:p>
            <w:pPr>
              <w:pStyle w:val="Compact"/>
              <w:jc w:val="left"/>
            </w:pPr>
            <w:r>
              <w:t xml:space="preserve">Producto 2 - Investigación del informe de dinámicas de violencia (coordinación del observatorio, enlaces territoriales, jornadas, peticiones, red de corresponsales y salas seguras)</w:t>
            </w:r>
          </w:p>
        </w:tc>
        <w:tc>
          <w:tcPr/>
          <w:p>
            <w:pPr>
              <w:pStyle w:val="Compact"/>
              <w:jc w:val="left"/>
            </w:pPr>
            <w:r>
              <w:t xml:space="preserve">$49.500.000</w:t>
            </w:r>
          </w:p>
        </w:tc>
      </w:tr>
      <w:tr>
        <w:tc>
          <w:tcPr/>
          <w:p>
            <w:pPr>
              <w:pStyle w:val="Compact"/>
              <w:jc w:val="left"/>
            </w:pPr>
            <w:r>
              <w:t xml:space="preserve">Facilitación de la ejecución: conectividad, telefonía segura y papelería</w:t>
            </w:r>
          </w:p>
        </w:tc>
        <w:tc>
          <w:tcPr/>
          <w:p>
            <w:pPr>
              <w:pStyle w:val="Compact"/>
              <w:jc w:val="left"/>
            </w:pPr>
            <w:r>
              <w:t xml:space="preserve">$2.500.000</w:t>
            </w:r>
          </w:p>
        </w:tc>
      </w:tr>
      <w:tr>
        <w:tc>
          <w:tcPr/>
          <w:p>
            <w:pPr>
              <w:pStyle w:val="Compact"/>
              <w:jc w:val="left"/>
            </w:pPr>
            <w:r>
              <w:t xml:space="preserve">Complemento de los costos indirectos de administración</w:t>
            </w:r>
          </w:p>
        </w:tc>
        <w:tc>
          <w:tcPr/>
          <w:p>
            <w:pPr>
              <w:pStyle w:val="Compact"/>
              <w:jc w:val="left"/>
            </w:pPr>
            <w:r>
              <w:t xml:space="preserve">$2.500.000</w:t>
            </w:r>
          </w:p>
        </w:tc>
      </w:tr>
      <w:tr>
        <w:tc>
          <w:tcPr/>
          <w:p>
            <w:pPr>
              <w:pStyle w:val="Compact"/>
              <w:jc w:val="left"/>
            </w:pPr>
            <w:r>
              <w:t xml:space="preserve">Imprevistos y contingencias del proyecto, asumidos por la Corporación</w:t>
            </w:r>
          </w:p>
        </w:tc>
        <w:tc>
          <w:tcPr/>
          <w:p>
            <w:pPr>
              <w:pStyle w:val="Compact"/>
              <w:jc w:val="left"/>
            </w:pPr>
            <w:r>
              <w:t xml:space="preserve">$3.214.286</w:t>
            </w:r>
          </w:p>
        </w:tc>
      </w:tr>
      <w:tr>
        <w:tc>
          <w:tcPr/>
          <w:p>
            <w:pPr>
              <w:pStyle w:val="Compact"/>
              <w:jc w:val="left"/>
            </w:pPr>
            <w:r>
              <w:t xml:space="preserve">Total del aporte en dinero de la Corporación</w:t>
            </w:r>
          </w:p>
        </w:tc>
        <w:tc>
          <w:tcPr/>
          <w:p>
            <w:pPr>
              <w:pStyle w:val="Compact"/>
              <w:jc w:val="left"/>
            </w:pPr>
            <w:r>
              <w:t xml:space="preserve">$85.714.286</w:t>
            </w:r>
          </w:p>
        </w:tc>
      </w:tr>
    </w:tbl>
    <w:p>
      <w:pPr>
        <w:pStyle w:val="BodyText"/>
      </w:pPr>
      <w:r>
        <w:t xml:space="preserve">La consecuencia de esta aplicación merece subrayarse: la totalidad del componente de litigio estratégico, las rutas de protección, los boletines, la incidencia y la red de defensores se financia con el aporte de la Gobernación, y la totalidad del sistema de información y de la investigación del informe se financia y ejecuta con el aporte de la Corporación, que además asume la contingencia del proyecto. La contingencia no se traslada al presupuesto departamental.</w:t>
      </w:r>
    </w:p>
    <w:p>
      <w:pPr>
        <w:pStyle w:val="BodyText"/>
      </w:pPr>
      <w:r>
        <w:t xml:space="preserve">Sin relación conmutativa. También en el convenio de asociación el informe, los boletines y las actuaciones jurídicas se pactan como bienes de interés general en favor de la población objetivo, publicados y de acceso ciudadano, no como servicios prestados a la Gobernación; las cláusulas de autonomía técnica y editorial del numeral 9 lo materializan.</w:t>
      </w:r>
    </w:p>
    <w:p>
      <w:pPr>
        <w:pStyle w:val="BodyText"/>
      </w:pPr>
      <w:r>
        <w:t xml:space="preserve">La Corporación debe acreditar su reconocida idoneidad (artículo 3 del Decreto 092): correspondencia entre su objeto social y el programa, experiencia en el objeto, estructura y capacidad, estados financieros auditados y registro en el SECOP. Aplican las prohibiciones, inhabilidades e incompatibilidades del artículo 6 del Decreto 092 de 2017, que remite a la Constitución y a las Leyes 80 de 1993, 1150 de 2007 y 1474 de 2011; en lo no regulado, rigen las normas generales del sistema de compra pública (artículos 7 y 8 del mismo decreto).</w:t>
      </w:r>
    </w:p>
    <w:p>
      <w:pPr>
        <w:pStyle w:val="BodyText"/>
      </w:pPr>
      <w:r>
        <w:t xml:space="preserve">Vía subsidiaria. Si el aporte del 30 % no pudiera acreditarse al radicar, la alternativa documentada es el contrato de interés público del inciso 2 del artículo 355 de la Constitución (artículo 2 del Decreto 092), que no exige ese piso pero requiere acreditar sus tres condiciones y superar el filtro de pluralidad de oferentes del artículo 4 del mismo decreto, con el ajuste de cronograma que un proceso competitivo implicaría.</w:t>
      </w:r>
    </w:p>
    <w:bookmarkEnd w:id="44"/>
    <w:bookmarkStart w:id="45" w:name="indicadores"/>
    <w:p>
      <w:pPr>
        <w:pStyle w:val="Heading2"/>
      </w:pPr>
      <w:r>
        <w:t xml:space="preserve">21. Indicadores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Producto</w:t>
            </w:r>
          </w:p>
        </w:tc>
        <w:tc>
          <w:tcPr/>
          <w:p>
            <w:pPr>
              <w:pStyle w:val="Compact"/>
              <w:jc w:val="left"/>
            </w:pPr>
            <w:r>
              <w:t xml:space="preserve">Indicador de producto</w:t>
            </w:r>
          </w:p>
        </w:tc>
        <w:tc>
          <w:tcPr/>
          <w:p>
            <w:pPr>
              <w:pStyle w:val="Compact"/>
              <w:jc w:val="left"/>
            </w:pPr>
            <w:r>
              <w:t xml:space="preserve">Código de indicador</w:t>
            </w:r>
          </w:p>
        </w:tc>
        <w:tc>
          <w:tcPr/>
          <w:p>
            <w:pPr>
              <w:pStyle w:val="Compact"/>
              <w:jc w:val="left"/>
            </w:pPr>
            <w:r>
              <w:t xml:space="preserve">Línea base</w:t>
            </w:r>
          </w:p>
        </w:tc>
        <w:tc>
          <w:tcPr/>
          <w:p>
            <w:pPr>
              <w:pStyle w:val="Compact"/>
              <w:jc w:val="left"/>
            </w:pPr>
            <w:r>
              <w:t xml:space="preserve">Meta</w:t>
            </w:r>
          </w:p>
        </w:tc>
      </w:tr>
      <w:tr>
        <w:tc>
          <w:tcPr/>
          <w:p>
            <w:pPr>
              <w:pStyle w:val="Compact"/>
              <w:jc w:val="left"/>
            </w:pPr>
            <w:r>
              <w:t xml:space="preserve">1 - 4502016</w:t>
            </w:r>
          </w:p>
        </w:tc>
        <w:tc>
          <w:tcPr/>
          <w:p>
            <w:pPr>
              <w:pStyle w:val="Compact"/>
              <w:jc w:val="left"/>
            </w:pPr>
            <w:r>
              <w:t xml:space="preserve">Sistemas de información implementados</w:t>
            </w:r>
          </w:p>
        </w:tc>
        <w:tc>
          <w:tcPr/>
          <w:p>
            <w:pPr>
              <w:pStyle w:val="Compact"/>
              <w:jc w:val="left"/>
            </w:pPr>
            <w:r>
              <w:t xml:space="preserve">450201600</w:t>
            </w:r>
          </w:p>
        </w:tc>
        <w:tc>
          <w:tcPr/>
          <w:p>
            <w:pPr>
              <w:pStyle w:val="Compact"/>
              <w:jc w:val="left"/>
            </w:pPr>
            <w:r>
              <w:t xml:space="preserve">0</w:t>
            </w:r>
          </w:p>
        </w:tc>
        <w:tc>
          <w:tcPr/>
          <w:p>
            <w:pPr>
              <w:pStyle w:val="Compact"/>
              <w:jc w:val="left"/>
            </w:pPr>
            <w:r>
              <w:t xml:space="preserve">1</w:t>
            </w:r>
          </w:p>
        </w:tc>
      </w:tr>
      <w:tr>
        <w:tc>
          <w:tcPr/>
          <w:p>
            <w:pPr>
              <w:pStyle w:val="Compact"/>
              <w:jc w:val="left"/>
            </w:pPr>
            <w:r>
              <w:t xml:space="preserve">2 - 4502030</w:t>
            </w:r>
          </w:p>
        </w:tc>
        <w:tc>
          <w:tcPr/>
          <w:p>
            <w:pPr>
              <w:pStyle w:val="Compact"/>
              <w:jc w:val="left"/>
            </w:pPr>
            <w:r>
              <w:t xml:space="preserve">Documentos de investigación en derechos humanos realizados</w:t>
            </w:r>
          </w:p>
        </w:tc>
        <w:tc>
          <w:tcPr/>
          <w:p>
            <w:pPr>
              <w:pStyle w:val="Compact"/>
              <w:jc w:val="left"/>
            </w:pPr>
            <w:r>
              <w:t xml:space="preserve">450203002</w:t>
            </w:r>
          </w:p>
        </w:tc>
        <w:tc>
          <w:tcPr/>
          <w:p>
            <w:pPr>
              <w:pStyle w:val="Compact"/>
              <w:jc w:val="left"/>
            </w:pPr>
            <w:r>
              <w:t xml:space="preserve">0</w:t>
            </w:r>
          </w:p>
        </w:tc>
        <w:tc>
          <w:tcPr/>
          <w:p>
            <w:pPr>
              <w:pStyle w:val="Compact"/>
              <w:jc w:val="left"/>
            </w:pPr>
            <w:r>
              <w:t xml:space="preserve">1</w:t>
            </w:r>
          </w:p>
        </w:tc>
      </w:tr>
      <w:tr>
        <w:tc>
          <w:tcPr/>
          <w:p>
            <w:pPr>
              <w:pStyle w:val="Compact"/>
              <w:jc w:val="left"/>
            </w:pPr>
            <w:r>
              <w:t xml:space="preserve">3 - 4502020</w:t>
            </w:r>
          </w:p>
        </w:tc>
        <w:tc>
          <w:tcPr/>
          <w:p>
            <w:pPr>
              <w:pStyle w:val="Compact"/>
              <w:jc w:val="left"/>
            </w:pPr>
            <w:r>
              <w:t xml:space="preserve">Boletines estadísticos digitales producidos</w:t>
            </w:r>
          </w:p>
        </w:tc>
        <w:tc>
          <w:tcPr/>
          <w:p>
            <w:pPr>
              <w:pStyle w:val="Compact"/>
              <w:jc w:val="left"/>
            </w:pPr>
            <w:r>
              <w:t xml:space="preserve">450202000</w:t>
            </w:r>
          </w:p>
        </w:tc>
        <w:tc>
          <w:tcPr/>
          <w:p>
            <w:pPr>
              <w:pStyle w:val="Compact"/>
              <w:jc w:val="left"/>
            </w:pPr>
            <w:r>
              <w:t xml:space="preserve">0</w:t>
            </w:r>
          </w:p>
        </w:tc>
        <w:tc>
          <w:tcPr/>
          <w:p>
            <w:pPr>
              <w:pStyle w:val="Compact"/>
              <w:jc w:val="left"/>
            </w:pPr>
            <w:r>
              <w:t xml:space="preserve">10</w:t>
            </w:r>
          </w:p>
        </w:tc>
      </w:tr>
      <w:tr>
        <w:tc>
          <w:tcPr/>
          <w:p>
            <w:pPr>
              <w:pStyle w:val="Compact"/>
              <w:jc w:val="left"/>
            </w:pPr>
            <w:r>
              <w:t xml:space="preserve">3 - 4502020</w:t>
            </w:r>
          </w:p>
        </w:tc>
        <w:tc>
          <w:tcPr/>
          <w:p>
            <w:pPr>
              <w:pStyle w:val="Compact"/>
              <w:jc w:val="left"/>
            </w:pPr>
            <w:r>
              <w:t xml:space="preserve">Boletines estadísticos impresos producidos</w:t>
            </w:r>
          </w:p>
        </w:tc>
        <w:tc>
          <w:tcPr/>
          <w:p>
            <w:pPr>
              <w:pStyle w:val="Compact"/>
              <w:jc w:val="left"/>
            </w:pPr>
            <w:r>
              <w:t xml:space="preserve">450202000</w:t>
            </w:r>
          </w:p>
        </w:tc>
        <w:tc>
          <w:tcPr/>
          <w:p>
            <w:pPr>
              <w:pStyle w:val="Compact"/>
              <w:jc w:val="left"/>
            </w:pPr>
            <w:r>
              <w:t xml:space="preserve">0</w:t>
            </w:r>
          </w:p>
        </w:tc>
        <w:tc>
          <w:tcPr/>
          <w:p>
            <w:pPr>
              <w:pStyle w:val="Compact"/>
              <w:jc w:val="left"/>
            </w:pPr>
            <w:r>
              <w:t xml:space="preserve">2</w:t>
            </w:r>
          </w:p>
        </w:tc>
      </w:tr>
      <w:tr>
        <w:tc>
          <w:tcPr/>
          <w:p>
            <w:pPr>
              <w:pStyle w:val="Compact"/>
              <w:jc w:val="left"/>
            </w:pPr>
            <w:r>
              <w:t xml:space="preserve">3 - 4502020</w:t>
            </w:r>
          </w:p>
        </w:tc>
        <w:tc>
          <w:tcPr/>
          <w:p>
            <w:pPr>
              <w:pStyle w:val="Compact"/>
              <w:jc w:val="left"/>
            </w:pPr>
            <w:r>
              <w:t xml:space="preserve">Informes publicados</w:t>
            </w:r>
          </w:p>
        </w:tc>
        <w:tc>
          <w:tcPr/>
          <w:p>
            <w:pPr>
              <w:pStyle w:val="Compact"/>
              <w:jc w:val="left"/>
            </w:pPr>
            <w:r>
              <w:t xml:space="preserve">450202001</w:t>
            </w:r>
          </w:p>
        </w:tc>
        <w:tc>
          <w:tcPr/>
          <w:p>
            <w:pPr>
              <w:pStyle w:val="Compact"/>
              <w:jc w:val="left"/>
            </w:pPr>
            <w:r>
              <w:t xml:space="preserve">0</w:t>
            </w:r>
          </w:p>
        </w:tc>
        <w:tc>
          <w:tcPr/>
          <w:p>
            <w:pPr>
              <w:pStyle w:val="Compact"/>
              <w:jc w:val="left"/>
            </w:pPr>
            <w:r>
              <w:t xml:space="preserve">1</w:t>
            </w:r>
          </w:p>
        </w:tc>
      </w:tr>
      <w:tr>
        <w:tc>
          <w:tcPr/>
          <w:p>
            <w:pPr>
              <w:pStyle w:val="Compact"/>
              <w:jc w:val="left"/>
            </w:pPr>
            <w:r>
              <w:t xml:space="preserve">4 - 4502038</w:t>
            </w:r>
          </w:p>
        </w:tc>
        <w:tc>
          <w:tcPr/>
          <w:p>
            <w:pPr>
              <w:pStyle w:val="Compact"/>
              <w:jc w:val="left"/>
            </w:pPr>
            <w:r>
              <w:t xml:space="preserve">Estrategias de promoción de la garantía de derechos implementadas</w:t>
            </w:r>
          </w:p>
        </w:tc>
        <w:tc>
          <w:tcPr/>
          <w:p>
            <w:pPr>
              <w:pStyle w:val="Compact"/>
              <w:jc w:val="left"/>
            </w:pPr>
            <w:r>
              <w:t xml:space="preserve">450203800</w:t>
            </w:r>
          </w:p>
        </w:tc>
        <w:tc>
          <w:tcPr/>
          <w:p>
            <w:pPr>
              <w:pStyle w:val="Compact"/>
              <w:jc w:val="left"/>
            </w:pPr>
            <w:r>
              <w:t xml:space="preserve">0</w:t>
            </w:r>
          </w:p>
        </w:tc>
        <w:tc>
          <w:tcPr/>
          <w:p>
            <w:pPr>
              <w:pStyle w:val="Compact"/>
              <w:jc w:val="left"/>
            </w:pPr>
            <w:r>
              <w:t xml:space="preserve">1</w:t>
            </w:r>
          </w:p>
        </w:tc>
      </w:tr>
      <w:tr>
        <w:tc>
          <w:tcPr/>
          <w:p>
            <w:pPr>
              <w:pStyle w:val="Compact"/>
              <w:jc w:val="left"/>
            </w:pPr>
            <w:r>
              <w:t xml:space="preserve">4 - 4502038</w:t>
            </w:r>
          </w:p>
        </w:tc>
        <w:tc>
          <w:tcPr/>
          <w:p>
            <w:pPr>
              <w:pStyle w:val="Compact"/>
              <w:jc w:val="left"/>
            </w:pPr>
            <w:r>
              <w:t xml:space="preserve">Peticiones ante la Comisión Interamericana radicadas</w:t>
            </w:r>
          </w:p>
        </w:tc>
        <w:tc>
          <w:tcPr/>
          <w:p>
            <w:pPr>
              <w:pStyle w:val="Compact"/>
              <w:jc w:val="left"/>
            </w:pPr>
            <w:r>
              <w:t xml:space="preserve">Propio del proyecto</w:t>
            </w:r>
          </w:p>
        </w:tc>
        <w:tc>
          <w:tcPr/>
          <w:p>
            <w:pPr>
              <w:pStyle w:val="Compact"/>
              <w:jc w:val="left"/>
            </w:pPr>
            <w:r>
              <w:t xml:space="preserve">0</w:t>
            </w:r>
          </w:p>
        </w:tc>
        <w:tc>
          <w:tcPr/>
          <w:p>
            <w:pPr>
              <w:pStyle w:val="Compact"/>
              <w:jc w:val="left"/>
            </w:pPr>
            <w:r>
              <w:t xml:space="preserve">3</w:t>
            </w:r>
          </w:p>
        </w:tc>
      </w:tr>
      <w:tr>
        <w:tc>
          <w:tcPr/>
          <w:p>
            <w:pPr>
              <w:pStyle w:val="Compact"/>
              <w:jc w:val="left"/>
            </w:pPr>
            <w:r>
              <w:t xml:space="preserve">4 - 4502038</w:t>
            </w:r>
          </w:p>
        </w:tc>
        <w:tc>
          <w:tcPr/>
          <w:p>
            <w:pPr>
              <w:pStyle w:val="Compact"/>
              <w:jc w:val="left"/>
            </w:pPr>
            <w:r>
              <w:t xml:space="preserve">Solicitudes de medidas cautelares ante la CIDH radicadas</w:t>
            </w:r>
          </w:p>
        </w:tc>
        <w:tc>
          <w:tcPr/>
          <w:p>
            <w:pPr>
              <w:pStyle w:val="Compact"/>
              <w:jc w:val="left"/>
            </w:pPr>
            <w:r>
              <w:t xml:space="preserve">Propio del proyecto</w:t>
            </w:r>
          </w:p>
        </w:tc>
        <w:tc>
          <w:tcPr/>
          <w:p>
            <w:pPr>
              <w:pStyle w:val="Compact"/>
              <w:jc w:val="left"/>
            </w:pPr>
            <w:r>
              <w:t xml:space="preserve">0</w:t>
            </w:r>
          </w:p>
        </w:tc>
        <w:tc>
          <w:tcPr/>
          <w:p>
            <w:pPr>
              <w:pStyle w:val="Compact"/>
              <w:jc w:val="left"/>
            </w:pPr>
            <w:r>
              <w:t xml:space="preserve">3</w:t>
            </w:r>
          </w:p>
        </w:tc>
      </w:tr>
      <w:tr>
        <w:tc>
          <w:tcPr/>
          <w:p>
            <w:pPr>
              <w:pStyle w:val="Compact"/>
              <w:jc w:val="left"/>
            </w:pPr>
            <w:r>
              <w:t xml:space="preserve">5 - 4501006</w:t>
            </w:r>
          </w:p>
        </w:tc>
        <w:tc>
          <w:tcPr/>
          <w:p>
            <w:pPr>
              <w:pStyle w:val="Compact"/>
              <w:jc w:val="left"/>
            </w:pPr>
            <w:r>
              <w:t xml:space="preserve">Personas con solicitud de protección o denuncia penal con expediente de seguimiento y actuación jurídica radicada</w:t>
            </w:r>
          </w:p>
        </w:tc>
        <w:tc>
          <w:tcPr/>
          <w:p>
            <w:pPr>
              <w:pStyle w:val="Compact"/>
              <w:jc w:val="left"/>
            </w:pPr>
            <w:r>
              <w:t xml:space="preserve">450100600</w:t>
            </w:r>
          </w:p>
        </w:tc>
        <w:tc>
          <w:tcPr/>
          <w:p>
            <w:pPr>
              <w:pStyle w:val="Compact"/>
              <w:jc w:val="left"/>
            </w:pPr>
            <w:r>
              <w:t xml:space="preserve">0</w:t>
            </w:r>
          </w:p>
        </w:tc>
        <w:tc>
          <w:tcPr/>
          <w:p>
            <w:pPr>
              <w:pStyle w:val="Compact"/>
              <w:jc w:val="left"/>
            </w:pPr>
            <w:r>
              <w:t xml:space="preserve">80</w:t>
            </w:r>
          </w:p>
        </w:tc>
      </w:tr>
      <w:tr>
        <w:tc>
          <w:tcPr/>
          <w:p>
            <w:pPr>
              <w:pStyle w:val="Compact"/>
              <w:jc w:val="left"/>
            </w:pPr>
            <w:r>
              <w:t xml:space="preserve">6 - 4502032</w:t>
            </w:r>
          </w:p>
        </w:tc>
        <w:tc>
          <w:tcPr/>
          <w:p>
            <w:pPr>
              <w:pStyle w:val="Compact"/>
              <w:jc w:val="left"/>
            </w:pPr>
            <w:r>
              <w:t xml:space="preserve">Documentos de lineamientos técnicos realizados</w:t>
            </w:r>
          </w:p>
        </w:tc>
        <w:tc>
          <w:tcPr/>
          <w:p>
            <w:pPr>
              <w:pStyle w:val="Compact"/>
              <w:jc w:val="left"/>
            </w:pPr>
            <w:r>
              <w:t xml:space="preserve">450203200</w:t>
            </w:r>
          </w:p>
        </w:tc>
        <w:tc>
          <w:tcPr/>
          <w:p>
            <w:pPr>
              <w:pStyle w:val="Compact"/>
              <w:jc w:val="left"/>
            </w:pPr>
            <w:r>
              <w:t xml:space="preserve">0</w:t>
            </w:r>
          </w:p>
        </w:tc>
        <w:tc>
          <w:tcPr/>
          <w:p>
            <w:pPr>
              <w:pStyle w:val="Compact"/>
              <w:jc w:val="left"/>
            </w:pPr>
            <w:r>
              <w:t xml:space="preserve">3</w:t>
            </w:r>
          </w:p>
        </w:tc>
      </w:tr>
      <w:tr>
        <w:tc>
          <w:tcPr/>
          <w:p>
            <w:pPr>
              <w:pStyle w:val="Compact"/>
              <w:jc w:val="left"/>
            </w:pPr>
            <w:r>
              <w:t xml:space="preserve">7 - 4502038</w:t>
            </w:r>
          </w:p>
        </w:tc>
        <w:tc>
          <w:tcPr/>
          <w:p>
            <w:pPr>
              <w:pStyle w:val="Compact"/>
              <w:jc w:val="left"/>
            </w:pPr>
            <w:r>
              <w:t xml:space="preserve">Redes departamentales de defensores instaladas con acta y plan propio</w:t>
            </w:r>
          </w:p>
        </w:tc>
        <w:tc>
          <w:tcPr/>
          <w:p>
            <w:pPr>
              <w:pStyle w:val="Compact"/>
              <w:jc w:val="left"/>
            </w:pPr>
            <w:r>
              <w:t xml:space="preserve">Propio del proyecto</w:t>
            </w:r>
          </w:p>
        </w:tc>
        <w:tc>
          <w:tcPr/>
          <w:p>
            <w:pPr>
              <w:pStyle w:val="Compact"/>
              <w:jc w:val="left"/>
            </w:pPr>
            <w:r>
              <w:t xml:space="preserve">0</w:t>
            </w:r>
          </w:p>
        </w:tc>
        <w:tc>
          <w:tcPr/>
          <w:p>
            <w:pPr>
              <w:pStyle w:val="Compact"/>
              <w:jc w:val="left"/>
            </w:pPr>
            <w:r>
              <w:t xml:space="preserve">1</w:t>
            </w:r>
          </w:p>
        </w:tc>
      </w:tr>
    </w:tbl>
    <w:p>
      <w:pPr>
        <w:pStyle w:val="BodyText"/>
      </w:pPr>
      <w:r>
        <w:t xml:space="preserve">Notas. La determinación del nivel de riesgo corresponde a la UNP; la meta del producto 4501006 se verifica con los expedientes de seguimiento y las actuaciones radicadas, no con decisiones de terceros. Los códigos de indicador deben validarse contra la versión vigente del Catálogo de Productos MGA (verificación 6 del numeral 28); los indicadores marcados como propios del proyecto se reportan como indicadores de gestión asociados al producto correspondiente.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Indicador de gestión</w:t>
            </w:r>
          </w:p>
        </w:tc>
        <w:tc>
          <w:tcPr/>
          <w:p>
            <w:pPr>
              <w:pStyle w:val="Compact"/>
              <w:jc w:val="left"/>
            </w:pPr>
            <w:r>
              <w:t xml:space="preserve">Meta</w:t>
            </w:r>
          </w:p>
        </w:tc>
      </w:tr>
      <w:tr>
        <w:tc>
          <w:tcPr/>
          <w:p>
            <w:pPr>
              <w:pStyle w:val="Compact"/>
              <w:jc w:val="left"/>
            </w:pPr>
            <w:r>
              <w:t xml:space="preserve">Entidades requeridas mediante derecho de petición o solicitud de información pública</w:t>
            </w:r>
          </w:p>
        </w:tc>
        <w:tc>
          <w:tcPr/>
          <w:p>
            <w:pPr>
              <w:pStyle w:val="Compact"/>
              <w:jc w:val="left"/>
            </w:pPr>
            <w:r>
              <w:t xml:space="preserve">90</w:t>
            </w:r>
          </w:p>
        </w:tc>
      </w:tr>
      <w:tr>
        <w:tc>
          <w:tcPr/>
          <w:p>
            <w:pPr>
              <w:pStyle w:val="Compact"/>
              <w:jc w:val="left"/>
            </w:pPr>
            <w:r>
              <w:t xml:space="preserve">Municipios con información recolectada y validada</w:t>
            </w:r>
          </w:p>
        </w:tc>
        <w:tc>
          <w:tcPr/>
          <w:p>
            <w:pPr>
              <w:pStyle w:val="Compact"/>
              <w:jc w:val="left"/>
            </w:pPr>
            <w:r>
              <w:t xml:space="preserve">40</w:t>
            </w:r>
          </w:p>
        </w:tc>
      </w:tr>
      <w:tr>
        <w:tc>
          <w:tcPr/>
          <w:p>
            <w:pPr>
              <w:pStyle w:val="Compact"/>
              <w:jc w:val="left"/>
            </w:pPr>
            <w:r>
              <w:t xml:space="preserve">Corresponsales municipales formados y activos</w:t>
            </w:r>
          </w:p>
        </w:tc>
        <w:tc>
          <w:tcPr/>
          <w:p>
            <w:pPr>
              <w:pStyle w:val="Compact"/>
              <w:jc w:val="left"/>
            </w:pPr>
            <w:r>
              <w:t xml:space="preserve">40</w:t>
            </w:r>
          </w:p>
        </w:tc>
      </w:tr>
      <w:tr>
        <w:tc>
          <w:tcPr/>
          <w:p>
            <w:pPr>
              <w:pStyle w:val="Compact"/>
              <w:jc w:val="left"/>
            </w:pPr>
            <w:r>
              <w:t xml:space="preserve">Jornadas territoriales con función de encuentro subregional de la red</w:t>
            </w:r>
          </w:p>
        </w:tc>
        <w:tc>
          <w:tcPr/>
          <w:p>
            <w:pPr>
              <w:pStyle w:val="Compact"/>
              <w:jc w:val="left"/>
            </w:pPr>
            <w:r>
              <w:t xml:space="preserve">5</w:t>
            </w:r>
          </w:p>
        </w:tc>
      </w:tr>
      <w:tr>
        <w:tc>
          <w:tcPr/>
          <w:p>
            <w:pPr>
              <w:pStyle w:val="Compact"/>
              <w:jc w:val="left"/>
            </w:pPr>
            <w:r>
              <w:t xml:space="preserve">Registros de hechos victimizantes cargados y clasificados</w:t>
            </w:r>
          </w:p>
        </w:tc>
        <w:tc>
          <w:tcPr/>
          <w:p>
            <w:pPr>
              <w:pStyle w:val="Compact"/>
              <w:jc w:val="left"/>
            </w:pPr>
            <w:r>
              <w:t xml:space="preserve">Sin línea base; se reporta el resultado obtenido</w:t>
            </w:r>
          </w:p>
        </w:tc>
      </w:tr>
      <w:tr>
        <w:tc>
          <w:tcPr/>
          <w:p>
            <w:pPr>
              <w:pStyle w:val="Compact"/>
              <w:jc w:val="left"/>
            </w:pPr>
            <w:r>
              <w:t xml:space="preserve">Porcentaje de ejecución financiera al 31 de diciembre de 2026</w:t>
            </w:r>
          </w:p>
        </w:tc>
        <w:tc>
          <w:tcPr/>
          <w:p>
            <w:pPr>
              <w:pStyle w:val="Compact"/>
              <w:jc w:val="left"/>
            </w:pPr>
            <w:r>
              <w:t xml:space="preserve">100 %</w:t>
            </w:r>
          </w:p>
        </w:tc>
      </w:tr>
      <w:tr>
        <w:tc>
          <w:tcPr/>
          <w:p>
            <w:pPr>
              <w:pStyle w:val="Compact"/>
              <w:jc w:val="left"/>
            </w:pPr>
            <w:r>
              <w:t xml:space="preserve">Informes de supervisión presentados</w:t>
            </w:r>
          </w:p>
        </w:tc>
        <w:tc>
          <w:tcPr/>
          <w:p>
            <w:pPr>
              <w:pStyle w:val="Compact"/>
              <w:jc w:val="left"/>
            </w:pPr>
            <w:r>
              <w:t xml:space="preserve">3</w:t>
            </w:r>
          </w:p>
        </w:tc>
      </w:tr>
    </w:tbl>
    <w:bookmarkEnd w:id="45"/>
    <w:bookmarkStart w:id="46" w:name="cronograma-y-ruta-crítica-11-semanas"/>
    <w:p>
      <w:pPr>
        <w:pStyle w:val="Heading2"/>
      </w:pPr>
      <w:r>
        <w:t xml:space="preserve">22. Cronograma y ruta crítica (11 semanas)</w:t>
      </w:r>
    </w:p>
    <w:p>
      <w:pPr>
        <w:pStyle w:val="FirstParagraph"/>
      </w:pPr>
      <w:r>
        <w:t xml:space="preserve">El hito que determina la viabilidad es el envío de los derechos de petición en la primera semana. Las respuestas tardan diez días hábiles y con frecuencia exigen insistencia. Si las solicitudes salen en la tercera semana, la información llega en la séptima y no queda tiempo para triangular, validar y publicar. Todo lo demás puede correrse; esto no.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Semana</w:t>
            </w:r>
          </w:p>
        </w:tc>
        <w:tc>
          <w:tcPr/>
          <w:p>
            <w:pPr>
              <w:pStyle w:val="Compact"/>
              <w:jc w:val="left"/>
            </w:pPr>
            <w:r>
              <w:t xml:space="preserve">Actividades</w:t>
            </w:r>
          </w:p>
        </w:tc>
        <w:tc>
          <w:tcPr/>
          <w:p>
            <w:pPr>
              <w:pStyle w:val="Compact"/>
              <w:jc w:val="left"/>
            </w:pPr>
            <w:r>
              <w:t xml:space="preserve">Hito verificable</w:t>
            </w:r>
          </w:p>
        </w:tc>
      </w:tr>
      <w:tr>
        <w:tc>
          <w:tcPr/>
          <w:p>
            <w:pPr>
              <w:pStyle w:val="Compact"/>
              <w:jc w:val="left"/>
            </w:pPr>
            <w:r>
              <w:t xml:space="preserve">1 (15-21 oct)</w:t>
            </w:r>
          </w:p>
        </w:tc>
        <w:tc>
          <w:tcPr/>
          <w:p>
            <w:pPr>
              <w:pStyle w:val="Compact"/>
              <w:jc w:val="left"/>
            </w:pPr>
            <w:r>
              <w:t xml:space="preserve">Acta de inicio, garantías y anticipo. Contratación del equipo preseleccionado. Radicación del primer bloque de derechos de petición a entidades públicas. Adopción de protocolos e inscripción de la base en el RNBD. Apertura del proceso de selección del subcontratista de servicios jurídicos, preparado antes de la radicación</w:t>
            </w:r>
          </w:p>
        </w:tc>
        <w:tc>
          <w:tcPr/>
          <w:p>
            <w:pPr>
              <w:pStyle w:val="Compact"/>
              <w:jc w:val="left"/>
            </w:pPr>
            <w:r>
              <w:t xml:space="preserve">Peticiones radicadas - hito crítico</w:t>
            </w:r>
          </w:p>
        </w:tc>
      </w:tr>
      <w:tr>
        <w:tc>
          <w:tcPr/>
          <w:p>
            <w:pPr>
              <w:pStyle w:val="Compact"/>
              <w:jc w:val="left"/>
            </w:pPr>
            <w:r>
              <w:t xml:space="preserve">2</w:t>
            </w:r>
          </w:p>
        </w:tc>
        <w:tc>
          <w:tcPr/>
          <w:p>
            <w:pPr>
              <w:pStyle w:val="Compact"/>
              <w:jc w:val="left"/>
            </w:pPr>
            <w:r>
              <w:t xml:space="preserve">Segundo bloque de solicitudes a organizaciones sociales, universidades e iglesia, hasta completar las cerca de noventa entidades requeridas. Diseño del modelo de datos y de las tipologías. Convocatoria de la red de corresponsales y de los nodos subregionales de la red de defensores. Primer boletín semanal de monitoreo</w:t>
            </w:r>
          </w:p>
        </w:tc>
        <w:tc>
          <w:tcPr/>
          <w:p>
            <w:pPr>
              <w:pStyle w:val="Compact"/>
              <w:jc w:val="left"/>
            </w:pPr>
            <w:r>
              <w:t xml:space="preserve">Modelo de datos aprobado; primer boletín publicado</w:t>
            </w:r>
          </w:p>
        </w:tc>
      </w:tr>
      <w:tr>
        <w:tc>
          <w:tcPr/>
          <w:p>
            <w:pPr>
              <w:pStyle w:val="Compact"/>
              <w:jc w:val="left"/>
            </w:pPr>
            <w:r>
              <w:t xml:space="preserve">3</w:t>
            </w:r>
          </w:p>
        </w:tc>
        <w:tc>
          <w:tcPr/>
          <w:p>
            <w:pPr>
              <w:pStyle w:val="Compact"/>
              <w:jc w:val="left"/>
            </w:pPr>
            <w:r>
              <w:t xml:space="preserve">Implementación de la plataforma. Monitoreo retrospectivo de prensa 2016-2026. Identificación del universo de casos jurídicos. Primer taller de corresponsales en Cúcuta. Adjudicación del subcontrato de servicios jurídicos</w:t>
            </w:r>
          </w:p>
        </w:tc>
        <w:tc>
          <w:tcPr/>
          <w:p>
            <w:pPr>
              <w:pStyle w:val="Compact"/>
              <w:jc w:val="left"/>
            </w:pPr>
            <w:r>
              <w:t xml:space="preserve">Plataforma operando; subcontrato adjudicado</w:t>
            </w:r>
          </w:p>
        </w:tc>
      </w:tr>
      <w:tr>
        <w:tc>
          <w:tcPr/>
          <w:p>
            <w:pPr>
              <w:pStyle w:val="Compact"/>
              <w:jc w:val="left"/>
            </w:pPr>
            <w:r>
              <w:t xml:space="preserve">4</w:t>
            </w:r>
          </w:p>
        </w:tc>
        <w:tc>
          <w:tcPr/>
          <w:p>
            <w:pPr>
              <w:pStyle w:val="Compact"/>
              <w:jc w:val="left"/>
            </w:pPr>
            <w:r>
              <w:t xml:space="preserve">Llegada de las primeras respuestas. Carga y normalización. Jornadas territoriales 1 y 2. Apertura de los expedientes de seguimiento ante la UNP y la Fiscalía</w:t>
            </w:r>
          </w:p>
        </w:tc>
        <w:tc>
          <w:tcPr/>
          <w:p>
            <w:pPr>
              <w:pStyle w:val="Compact"/>
              <w:jc w:val="left"/>
            </w:pPr>
            <w:r>
              <w:t xml:space="preserve">Primeras respuestas cargadas</w:t>
            </w:r>
          </w:p>
        </w:tc>
      </w:tr>
      <w:tr>
        <w:tc>
          <w:tcPr/>
          <w:p>
            <w:pPr>
              <w:pStyle w:val="Compact"/>
              <w:jc w:val="left"/>
            </w:pPr>
            <w:r>
              <w:t xml:space="preserve">5</w:t>
            </w:r>
          </w:p>
        </w:tc>
        <w:tc>
          <w:tcPr/>
          <w:p>
            <w:pPr>
              <w:pStyle w:val="Compact"/>
              <w:jc w:val="left"/>
            </w:pPr>
            <w:r>
              <w:t xml:space="preserve">Insistencias y recursos frente a respuestas incompletas o negadas. Jornadas 3 y 4, que cumplen también la función de encuentros subregionales de la red. Segundo taller de corresponsales en Ocaña. Radicación del primer bloque de acciones jurídicas</w:t>
            </w:r>
          </w:p>
        </w:tc>
        <w:tc>
          <w:tcPr/>
          <w:p>
            <w:pPr>
              <w:pStyle w:val="Compact"/>
              <w:jc w:val="left"/>
            </w:pPr>
            <w:r>
              <w:t xml:space="preserve">Acciones jurídicas radicadas</w:t>
            </w:r>
          </w:p>
        </w:tc>
      </w:tr>
      <w:tr>
        <w:tc>
          <w:tcPr/>
          <w:p>
            <w:pPr>
              <w:pStyle w:val="Compact"/>
              <w:jc w:val="left"/>
            </w:pPr>
            <w:r>
              <w:t xml:space="preserve">6</w:t>
            </w:r>
          </w:p>
        </w:tc>
        <w:tc>
          <w:tcPr/>
          <w:p>
            <w:pPr>
              <w:pStyle w:val="Compact"/>
              <w:jc w:val="left"/>
            </w:pPr>
            <w:r>
              <w:t xml:space="preserve">Triangulación y deduplicación. Jornada 5. Selección definitiva de casos emblemáticos. Instalación pública de la red departamental de defensores en Cúcuta. Primer boletín estadístico impreso</w:t>
            </w:r>
          </w:p>
        </w:tc>
        <w:tc>
          <w:tcPr/>
          <w:p>
            <w:pPr>
              <w:pStyle w:val="Compact"/>
              <w:jc w:val="left"/>
            </w:pPr>
            <w:r>
              <w:t xml:space="preserve">Red instalada con acta; casos emblemáticos seleccionados</w:t>
            </w:r>
          </w:p>
        </w:tc>
      </w:tr>
      <w:tr>
        <w:tc>
          <w:tcPr/>
          <w:p>
            <w:pPr>
              <w:pStyle w:val="Compact"/>
              <w:jc w:val="left"/>
            </w:pPr>
            <w:r>
              <w:t xml:space="preserve">7</w:t>
            </w:r>
          </w:p>
        </w:tc>
        <w:tc>
          <w:tcPr/>
          <w:p>
            <w:pPr>
              <w:pStyle w:val="Compact"/>
              <w:jc w:val="left"/>
            </w:pPr>
            <w:r>
              <w:t xml:space="preserve">Cierre de la base. Cálculo del índice de riesgo, del barómetro de impunidad y del mapa de brecha de protección. Preparación de las peticiones interamericanas</w:t>
            </w:r>
          </w:p>
        </w:tc>
        <w:tc>
          <w:tcPr/>
          <w:p>
            <w:pPr>
              <w:pStyle w:val="Compact"/>
              <w:jc w:val="left"/>
            </w:pPr>
            <w:r>
              <w:t xml:space="preserve">Instrumentos analíticos calculados</w:t>
            </w:r>
          </w:p>
        </w:tc>
      </w:tr>
      <w:tr>
        <w:tc>
          <w:tcPr/>
          <w:p>
            <w:pPr>
              <w:pStyle w:val="Compact"/>
              <w:jc w:val="left"/>
            </w:pPr>
            <w:r>
              <w:t xml:space="preserve">8</w:t>
            </w:r>
          </w:p>
        </w:tc>
        <w:tc>
          <w:tcPr/>
          <w:p>
            <w:pPr>
              <w:pStyle w:val="Compact"/>
              <w:jc w:val="left"/>
            </w:pPr>
            <w:r>
              <w:t xml:space="preserve">Redacción del informe. Mesa técnica de validación con las fuentes. Radicación de las solicitudes de medidas cautelares ante la CIDH</w:t>
            </w:r>
          </w:p>
        </w:tc>
        <w:tc>
          <w:tcPr/>
          <w:p>
            <w:pPr>
              <w:pStyle w:val="Compact"/>
              <w:jc w:val="left"/>
            </w:pPr>
            <w:r>
              <w:t xml:space="preserve">Medidas cautelares radicadas</w:t>
            </w:r>
          </w:p>
        </w:tc>
      </w:tr>
      <w:tr>
        <w:tc>
          <w:tcPr/>
          <w:p>
            <w:pPr>
              <w:pStyle w:val="Compact"/>
              <w:jc w:val="left"/>
            </w:pPr>
            <w:r>
              <w:t xml:space="preserve">9</w:t>
            </w:r>
          </w:p>
        </w:tc>
        <w:tc>
          <w:tcPr/>
          <w:p>
            <w:pPr>
              <w:pStyle w:val="Compact"/>
              <w:jc w:val="left"/>
            </w:pPr>
            <w:r>
              <w:t xml:space="preserve">Ajuste del informe con las observaciones de la mesa. Radicación de las peticiones ante la Comisión Interamericana. Elaboración de los tres documentos de lineamientos técnicos</w:t>
            </w:r>
          </w:p>
        </w:tc>
        <w:tc>
          <w:tcPr/>
          <w:p>
            <w:pPr>
              <w:pStyle w:val="Compact"/>
              <w:jc w:val="left"/>
            </w:pPr>
            <w:r>
              <w:t xml:space="preserve">Peticiones CIDH radicadas; documentos de política elaborados</w:t>
            </w:r>
          </w:p>
        </w:tc>
      </w:tr>
      <w:tr>
        <w:tc>
          <w:tcPr/>
          <w:p>
            <w:pPr>
              <w:pStyle w:val="Compact"/>
              <w:jc w:val="left"/>
            </w:pPr>
            <w:r>
              <w:t xml:space="preserve">10</w:t>
            </w:r>
          </w:p>
        </w:tc>
        <w:tc>
          <w:tcPr/>
          <w:p>
            <w:pPr>
              <w:pStyle w:val="Compact"/>
              <w:jc w:val="left"/>
            </w:pPr>
            <w:r>
              <w:t xml:space="preserve">Audiencia pública de presentación ante la Asamblea, el Consejo Departamental de Paz y la Mesa Territorial de Garantías. Entrega al Subcomité de Prevención y a la CIPRAT. Segundo boletín estadístico impreso. La audiencia sirve además de audiencia departamental de balance de la red</w:t>
            </w:r>
          </w:p>
        </w:tc>
        <w:tc>
          <w:tcPr/>
          <w:p>
            <w:pPr>
              <w:pStyle w:val="Compact"/>
              <w:jc w:val="left"/>
            </w:pPr>
            <w:r>
              <w:t xml:space="preserve">Informe presentado públicamente</w:t>
            </w:r>
          </w:p>
        </w:tc>
      </w:tr>
      <w:tr>
        <w:tc>
          <w:tcPr/>
          <w:p>
            <w:pPr>
              <w:pStyle w:val="Compact"/>
              <w:jc w:val="left"/>
            </w:pPr>
            <w:r>
              <w:t xml:space="preserve">11 (hasta 31 dic)</w:t>
            </w:r>
          </w:p>
        </w:tc>
        <w:tc>
          <w:tcPr/>
          <w:p>
            <w:pPr>
              <w:pStyle w:val="Compact"/>
              <w:jc w:val="left"/>
            </w:pPr>
            <w:r>
              <w:t xml:space="preserve">Publicación definitiva, entrega de agregados anonimizados, auditoría externa, informe final y proyecto de acta de liquidación</w:t>
            </w:r>
          </w:p>
        </w:tc>
        <w:tc>
          <w:tcPr/>
          <w:p>
            <w:pPr>
              <w:pStyle w:val="Compact"/>
              <w:jc w:val="left"/>
            </w:pPr>
            <w:r>
              <w:t xml:space="preserve">Informe final entregado</w:t>
            </w:r>
          </w:p>
        </w:tc>
      </w:tr>
    </w:tbl>
    <w:p>
      <w:pPr>
        <w:pStyle w:val="BodyText"/>
      </w:pPr>
      <w:r>
        <w:t xml:space="preserve">Los boletines semanales digitales se publican de manera continua desde la semana 2 hasta la semana 11 (10 números): los primeros como boletines de monitoreo sobre fuentes abiertas, corresponsales y actuaciones del proyecto, y desde la semana 6 con los agregados estadísticos validados del sistema de información.</w:t>
      </w:r>
    </w:p>
    <w:bookmarkEnd w:id="46"/>
    <w:bookmarkStart w:id="47" w:name="análisis-de-riesgos"/>
    <w:p>
      <w:pPr>
        <w:pStyle w:val="Heading2"/>
      </w:pPr>
      <w:r>
        <w:t xml:space="preserve">23. Análisis de riesgos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Riesgo</w:t>
            </w:r>
          </w:p>
        </w:tc>
        <w:tc>
          <w:tcPr/>
          <w:p>
            <w:pPr>
              <w:pStyle w:val="Compact"/>
              <w:jc w:val="left"/>
            </w:pPr>
            <w:r>
              <w:t xml:space="preserve">Prob.</w:t>
            </w:r>
          </w:p>
        </w:tc>
        <w:tc>
          <w:tcPr/>
          <w:p>
            <w:pPr>
              <w:pStyle w:val="Compact"/>
              <w:jc w:val="left"/>
            </w:pPr>
            <w:r>
              <w:t xml:space="preserve">Impacto</w:t>
            </w:r>
          </w:p>
        </w:tc>
        <w:tc>
          <w:tcPr/>
          <w:p>
            <w:pPr>
              <w:pStyle w:val="Compact"/>
              <w:jc w:val="left"/>
            </w:pPr>
            <w:r>
              <w:t xml:space="preserve">Mitigación</w:t>
            </w:r>
          </w:p>
        </w:tc>
      </w:tr>
      <w:tr>
        <w:tc>
          <w:tcPr/>
          <w:p>
            <w:pPr>
              <w:pStyle w:val="Compact"/>
              <w:jc w:val="left"/>
            </w:pPr>
            <w:r>
              <w:t xml:space="preserve">Las entidades no responden o responden de manera incompleta</w:t>
            </w:r>
          </w:p>
        </w:tc>
        <w:tc>
          <w:tcPr/>
          <w:p>
            <w:pPr>
              <w:pStyle w:val="Compact"/>
              <w:jc w:val="left"/>
            </w:pPr>
            <w:r>
              <w:t xml:space="preserve">Alta</w:t>
            </w:r>
          </w:p>
        </w:tc>
        <w:tc>
          <w:tcPr/>
          <w:p>
            <w:pPr>
              <w:pStyle w:val="Compact"/>
              <w:jc w:val="left"/>
            </w:pPr>
            <w:r>
              <w:t xml:space="preserve">Alto</w:t>
            </w:r>
          </w:p>
        </w:tc>
        <w:tc>
          <w:tcPr/>
          <w:p>
            <w:pPr>
              <w:pStyle w:val="Compact"/>
              <w:jc w:val="left"/>
            </w:pPr>
            <w:r>
              <w:t xml:space="preserve">Radicación en la semana 1; recurso de insistencia del artículo 26 del CPACA, recurso del artículo 27 de la Ley 1712 cuando proceda y tutela por mora; el semáforo de respuesta institucional convierte la omisión en hallazgo publicable, lo que además genera incentivo a responder</w:t>
            </w:r>
          </w:p>
        </w:tc>
      </w:tr>
      <w:tr>
        <w:tc>
          <w:tcPr/>
          <w:p>
            <w:pPr>
              <w:pStyle w:val="Compact"/>
              <w:jc w:val="left"/>
            </w:pPr>
            <w:r>
              <w:t xml:space="preserve">La Fiscalía invoca reserva sobre la información solicitada</w:t>
            </w:r>
          </w:p>
        </w:tc>
        <w:tc>
          <w:tcPr/>
          <w:p>
            <w:pPr>
              <w:pStyle w:val="Compact"/>
              <w:jc w:val="left"/>
            </w:pPr>
            <w:r>
              <w:t xml:space="preserve">Media</w:t>
            </w:r>
          </w:p>
        </w:tc>
        <w:tc>
          <w:tcPr/>
          <w:p>
            <w:pPr>
              <w:pStyle w:val="Compact"/>
              <w:jc w:val="left"/>
            </w:pPr>
            <w:r>
              <w:t xml:space="preserve">Medio</w:t>
            </w:r>
          </w:p>
        </w:tc>
        <w:tc>
          <w:tcPr/>
          <w:p>
            <w:pPr>
              <w:pStyle w:val="Compact"/>
              <w:jc w:val="left"/>
            </w:pPr>
            <w:r>
              <w:t xml:space="preserve">Se solicitan datos agregados y estadísticos, no expedientes; el acceso individual se obtiene por poder de la víctima y constitución en víctima</w:t>
            </w:r>
          </w:p>
        </w:tc>
      </w:tr>
      <w:tr>
        <w:tc>
          <w:tcPr/>
          <w:p>
            <w:pPr>
              <w:pStyle w:val="Compact"/>
              <w:jc w:val="left"/>
            </w:pPr>
            <w:r>
              <w:t xml:space="preserve">Calidad heterogénea de los registros entre los 40 municipios</w:t>
            </w:r>
          </w:p>
        </w:tc>
        <w:tc>
          <w:tcPr/>
          <w:p>
            <w:pPr>
              <w:pStyle w:val="Compact"/>
              <w:jc w:val="left"/>
            </w:pPr>
            <w:r>
              <w:t xml:space="preserve">Alta</w:t>
            </w:r>
          </w:p>
        </w:tc>
        <w:tc>
          <w:tcPr/>
          <w:p>
            <w:pPr>
              <w:pStyle w:val="Compact"/>
              <w:jc w:val="left"/>
            </w:pPr>
            <w:r>
              <w:t xml:space="preserve">Medio</w:t>
            </w:r>
          </w:p>
        </w:tc>
        <w:tc>
          <w:tcPr/>
          <w:p>
            <w:pPr>
              <w:pStyle w:val="Compact"/>
              <w:jc w:val="left"/>
            </w:pPr>
            <w:r>
              <w:t xml:space="preserve">Escala de confiabilidad de tres niveles; publicación explícita del subregistro y de los vacíos; la heterogeneidad se documenta en lugar de disimularse</w:t>
            </w:r>
          </w:p>
        </w:tc>
      </w:tr>
      <w:tr>
        <w:tc>
          <w:tcPr/>
          <w:p>
            <w:pPr>
              <w:pStyle w:val="Compact"/>
              <w:jc w:val="left"/>
            </w:pPr>
            <w:r>
              <w:t xml:space="preserve">Riesgo de seguridad del equipo en las jornadas territoriales y en los encuentros de la red</w:t>
            </w:r>
          </w:p>
        </w:tc>
        <w:tc>
          <w:tcPr/>
          <w:p>
            <w:pPr>
              <w:pStyle w:val="Compact"/>
              <w:jc w:val="left"/>
            </w:pPr>
            <w:r>
              <w:t xml:space="preserve">Alta</w:t>
            </w:r>
          </w:p>
        </w:tc>
        <w:tc>
          <w:tcPr/>
          <w:p>
            <w:pPr>
              <w:pStyle w:val="Compact"/>
              <w:jc w:val="left"/>
            </w:pPr>
            <w:r>
              <w:t xml:space="preserve">Muy alto</w:t>
            </w:r>
          </w:p>
        </w:tc>
        <w:tc>
          <w:tcPr/>
          <w:p>
            <w:pPr>
              <w:pStyle w:val="Compact"/>
              <w:jc w:val="left"/>
            </w:pPr>
            <w:r>
              <w:t xml:space="preserve">Análisis previo de la zona; coordinación con personerías y Ministerio Público; prohibición de pernoctar en municipios de riesgo alto; convocatorias discretas y sedes seguras para los encuentros de la red; suspensión de la actividad cuando el análisis lo indique</w:t>
            </w:r>
          </w:p>
        </w:tc>
      </w:tr>
      <w:tr>
        <w:tc>
          <w:tcPr/>
          <w:p>
            <w:pPr>
              <w:pStyle w:val="Compact"/>
              <w:jc w:val="left"/>
            </w:pPr>
            <w:r>
              <w:t xml:space="preserve">Filtración de la base de datos o identificación de fuentes</w:t>
            </w:r>
          </w:p>
        </w:tc>
        <w:tc>
          <w:tcPr/>
          <w:p>
            <w:pPr>
              <w:pStyle w:val="Compact"/>
              <w:jc w:val="left"/>
            </w:pPr>
            <w:r>
              <w:t xml:space="preserve">Media</w:t>
            </w:r>
          </w:p>
        </w:tc>
        <w:tc>
          <w:tcPr/>
          <w:p>
            <w:pPr>
              <w:pStyle w:val="Compact"/>
              <w:jc w:val="left"/>
            </w:pPr>
            <w:r>
              <w:t xml:space="preserve">Muy alto</w:t>
            </w:r>
          </w:p>
        </w:tc>
        <w:tc>
          <w:tcPr/>
          <w:p>
            <w:pPr>
              <w:pStyle w:val="Compact"/>
              <w:jc w:val="left"/>
            </w:pPr>
            <w:r>
              <w:t xml:space="preserve">Cifrado, control de acceso por perfiles, inscripción en el RNBD, cláusula de no entrega de datos crudos y anonimización de los agregados</w:t>
            </w:r>
          </w:p>
        </w:tc>
      </w:tr>
      <w:tr>
        <w:tc>
          <w:tcPr/>
          <w:p>
            <w:pPr>
              <w:pStyle w:val="Compact"/>
              <w:jc w:val="left"/>
            </w:pPr>
            <w:r>
              <w:t xml:space="preserve">Instrumentalización política del informe o de la red</w:t>
            </w:r>
          </w:p>
        </w:tc>
        <w:tc>
          <w:tcPr/>
          <w:p>
            <w:pPr>
              <w:pStyle w:val="Compact"/>
              <w:jc w:val="left"/>
            </w:pPr>
            <w:r>
              <w:t xml:space="preserve">Media</w:t>
            </w:r>
          </w:p>
        </w:tc>
        <w:tc>
          <w:tcPr/>
          <w:p>
            <w:pPr>
              <w:pStyle w:val="Compact"/>
              <w:jc w:val="left"/>
            </w:pPr>
            <w:r>
              <w:t xml:space="preserve">Alto</w:t>
            </w:r>
          </w:p>
        </w:tc>
        <w:tc>
          <w:tcPr/>
          <w:p>
            <w:pPr>
              <w:pStyle w:val="Compact"/>
              <w:jc w:val="left"/>
            </w:pPr>
            <w:r>
              <w:t xml:space="preserve">Mesa técnica de validación con las fuentes; anexo metodológico completo; cláusula de autonomía técnica y editorial en el contrato; secretaría técnica de la red en la sociedad civil</w:t>
            </w:r>
          </w:p>
        </w:tc>
      </w:tr>
      <w:tr>
        <w:tc>
          <w:tcPr/>
          <w:p>
            <w:pPr>
              <w:pStyle w:val="Compact"/>
              <w:jc w:val="left"/>
            </w:pPr>
            <w:r>
              <w:t xml:space="preserve">La Corporación no acredita el 30 % en dinero antes de suscribir</w:t>
            </w:r>
          </w:p>
        </w:tc>
        <w:tc>
          <w:tcPr/>
          <w:p>
            <w:pPr>
              <w:pStyle w:val="Compact"/>
              <w:jc w:val="left"/>
            </w:pPr>
            <w:r>
              <w:t xml:space="preserve">Media</w:t>
            </w:r>
          </w:p>
        </w:tc>
        <w:tc>
          <w:tcPr/>
          <w:p>
            <w:pPr>
              <w:pStyle w:val="Compact"/>
              <w:jc w:val="left"/>
            </w:pPr>
            <w:r>
              <w:t xml:space="preserve">Alto</w:t>
            </w:r>
          </w:p>
        </w:tc>
        <w:tc>
          <w:tcPr/>
          <w:p>
            <w:pPr>
              <w:pStyle w:val="Compact"/>
              <w:jc w:val="left"/>
            </w:pPr>
            <w:r>
              <w:t xml:space="preserve">Certificación previa a la radicación (extractos, revisor fiscal o convenios de cooperación); regla de ajuste proporcional del numeral 20; en subsidio, proceso competitivo o contrato de interés público del artículo 2 con el análisis del artículo 4 del Decreto 092</w:t>
            </w:r>
          </w:p>
        </w:tc>
      </w:tr>
      <w:tr>
        <w:tc>
          <w:tcPr/>
          <w:p>
            <w:pPr>
              <w:pStyle w:val="Compact"/>
              <w:jc w:val="left"/>
            </w:pPr>
            <w:r>
              <w:t xml:space="preserve">Observación de los organismos de control a la estructura de subcontratación financiada con recursos públicos</w:t>
            </w:r>
          </w:p>
        </w:tc>
        <w:tc>
          <w:tcPr/>
          <w:p>
            <w:pPr>
              <w:pStyle w:val="Compact"/>
              <w:jc w:val="left"/>
            </w:pPr>
            <w:r>
              <w:t xml:space="preserve">Media</w:t>
            </w:r>
          </w:p>
        </w:tc>
        <w:tc>
          <w:tcPr/>
          <w:p>
            <w:pPr>
              <w:pStyle w:val="Compact"/>
              <w:jc w:val="left"/>
            </w:pPr>
            <w:r>
              <w:t xml:space="preserve">Alto</w:t>
            </w:r>
          </w:p>
        </w:tc>
        <w:tc>
          <w:tcPr/>
          <w:p>
            <w:pPr>
              <w:pStyle w:val="Compact"/>
              <w:jc w:val="left"/>
            </w:pPr>
            <w:r>
              <w:t xml:space="preserve">Análisis del numeral 14.4; consulta escrita previa a Colombia Compra Eficiente (numerales 14.4 y 28); pago del subcontrato contra entregables aprobados</w:t>
            </w:r>
          </w:p>
        </w:tc>
      </w:tr>
      <w:tr>
        <w:tc>
          <w:tcPr/>
          <w:p>
            <w:pPr>
              <w:pStyle w:val="Compact"/>
              <w:jc w:val="left"/>
            </w:pPr>
            <w:r>
              <w:t xml:space="preserve">Baja ejecución y constitución de reservas presupuestales</w:t>
            </w:r>
          </w:p>
        </w:tc>
        <w:tc>
          <w:tcPr/>
          <w:p>
            <w:pPr>
              <w:pStyle w:val="Compact"/>
              <w:jc w:val="left"/>
            </w:pPr>
            <w:r>
              <w:t xml:space="preserve">Alta</w:t>
            </w:r>
          </w:p>
        </w:tc>
        <w:tc>
          <w:tcPr/>
          <w:p>
            <w:pPr>
              <w:pStyle w:val="Compact"/>
              <w:jc w:val="left"/>
            </w:pPr>
            <w:r>
              <w:t xml:space="preserve">Alto</w:t>
            </w:r>
          </w:p>
        </w:tc>
        <w:tc>
          <w:tcPr/>
          <w:p>
            <w:pPr>
              <w:pStyle w:val="Compact"/>
              <w:jc w:val="left"/>
            </w:pPr>
            <w:r>
              <w:t xml:space="preserve">Equipo preseleccionado antes del acta de inicio; plan de adquisiciones aprobado; anticipo del 40 %; hitos semanales verificables</w:t>
            </w:r>
          </w:p>
        </w:tc>
      </w:tr>
      <w:tr>
        <w:tc>
          <w:tcPr/>
          <w:p>
            <w:pPr>
              <w:pStyle w:val="Compact"/>
              <w:jc w:val="left"/>
            </w:pPr>
            <w:r>
              <w:t xml:space="preserve">Retraso en el acta de inicio más allá del 15 de octubre</w:t>
            </w:r>
          </w:p>
        </w:tc>
        <w:tc>
          <w:tcPr/>
          <w:p>
            <w:pPr>
              <w:pStyle w:val="Compact"/>
              <w:jc w:val="left"/>
            </w:pPr>
            <w:r>
              <w:t xml:space="preserve">Media</w:t>
            </w:r>
          </w:p>
        </w:tc>
        <w:tc>
          <w:tcPr/>
          <w:p>
            <w:pPr>
              <w:pStyle w:val="Compact"/>
              <w:jc w:val="left"/>
            </w:pPr>
            <w:r>
              <w:t xml:space="preserve">Muy alto</w:t>
            </w:r>
          </w:p>
        </w:tc>
        <w:tc>
          <w:tcPr/>
          <w:p>
            <w:pPr>
              <w:pStyle w:val="Compact"/>
              <w:jc w:val="left"/>
            </w:pPr>
            <w:r>
              <w:t xml:space="preserve">Adelantar el trámite contractual desde agosto; si el inicio se corre más de dos semanas, debe reducirse el alcance del informe a las fuentes ya disponibles y diferirse la publicación de los boletines</w:t>
            </w:r>
          </w:p>
        </w:tc>
      </w:tr>
      <w:tr>
        <w:tc>
          <w:tcPr/>
          <w:p>
            <w:pPr>
              <w:pStyle w:val="Compact"/>
              <w:jc w:val="left"/>
            </w:pPr>
            <w:r>
              <w:t xml:space="preserve">La decisión de la CIDH sobre peticiones y medidas cautelares excede el plazo del contrato</w:t>
            </w:r>
          </w:p>
        </w:tc>
        <w:tc>
          <w:tcPr/>
          <w:p>
            <w:pPr>
              <w:pStyle w:val="Compact"/>
              <w:jc w:val="left"/>
            </w:pPr>
            <w:r>
              <w:t xml:space="preserve">Alta</w:t>
            </w:r>
          </w:p>
        </w:tc>
        <w:tc>
          <w:tcPr/>
          <w:p>
            <w:pPr>
              <w:pStyle w:val="Compact"/>
              <w:jc w:val="left"/>
            </w:pPr>
            <w:r>
              <w:t xml:space="preserve">Medio</w:t>
            </w:r>
          </w:p>
        </w:tc>
        <w:tc>
          <w:tcPr/>
          <w:p>
            <w:pPr>
              <w:pStyle w:val="Compact"/>
              <w:jc w:val="left"/>
            </w:pPr>
            <w:r>
              <w:t xml:space="preserve">Las metas se definen como actuaciones radicadas con expediente completo, no como decisiones obtenidas; cláusula de continuidad de la representación (numeral 14.6) y estrategia de sostenibilidad (numeral 27)</w:t>
            </w:r>
          </w:p>
        </w:tc>
      </w:tr>
    </w:tbl>
    <w:bookmarkEnd w:id="47"/>
    <w:bookmarkEnd w:id="48"/>
    <w:bookmarkStart w:id="55" w:name="capítulo-vi.-desarrollos-propuestos"/>
    <w:p>
      <w:pPr>
        <w:pStyle w:val="Heading1"/>
      </w:pPr>
      <w:r>
        <w:t xml:space="preserve">CAPÍTULO VI. DESARROLLOS PROPUESTOS</w:t>
      </w:r>
    </w:p>
    <w:p>
      <w:pPr>
        <w:pStyle w:val="FirstParagraph"/>
      </w:pPr>
      <w:r>
        <w:t xml:space="preserve">Este capítulo recoge las líneas de trabajo propuestas para desarrollar dentro del proyecto. Se indican las que caben en esta fase y las que corresponden a la siguiente, para que la decisión sobre el alcance se tome con información y no por omisión.</w:t>
      </w:r>
    </w:p>
    <w:bookmarkStart w:id="49" w:name="catálogo-de-desarrollos"/>
    <w:p>
      <w:pPr>
        <w:pStyle w:val="Heading2"/>
      </w:pPr>
      <w:r>
        <w:t xml:space="preserve">24. Catálogo de desarrollos</w:t>
      </w:r>
    </w:p>
    <w:p>
      <w:pPr>
        <w:pStyle w:val="FirstParagraph"/>
      </w:pPr>
      <w:r>
        <w:t xml:space="preserve">Instrumentos analíticos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Desarrollo</w:t>
            </w:r>
          </w:p>
        </w:tc>
        <w:tc>
          <w:tcPr/>
          <w:p>
            <w:pPr>
              <w:pStyle w:val="Compact"/>
              <w:jc w:val="left"/>
            </w:pPr>
            <w:r>
              <w:t xml:space="preserve">Descripción y utilidad</w:t>
            </w:r>
          </w:p>
        </w:tc>
        <w:tc>
          <w:tcPr/>
          <w:p>
            <w:pPr>
              <w:pStyle w:val="Compact"/>
              <w:jc w:val="left"/>
            </w:pPr>
            <w:r>
              <w:t xml:space="preserve">Fase</w:t>
            </w:r>
          </w:p>
        </w:tc>
      </w:tr>
      <w:tr>
        <w:tc>
          <w:tcPr/>
          <w:p>
            <w:pPr>
              <w:pStyle w:val="Compact"/>
              <w:jc w:val="left"/>
            </w:pPr>
            <w:r>
              <w:t xml:space="preserve">Índice Departamental de Riesgo para el Liderazgo Social</w:t>
            </w:r>
          </w:p>
        </w:tc>
        <w:tc>
          <w:tcPr/>
          <w:p>
            <w:pPr>
              <w:pStyle w:val="Compact"/>
              <w:jc w:val="left"/>
            </w:pPr>
            <w:r>
              <w:t xml:space="preserve">Índice compuesto municipal de 0 a 100 que integra agresiones por cada cien mil habitantes, presencia y disputa de grupos armados, alertas tempranas vigentes, cobertura de medidas de protección, nivel de impunidad y capacidad institucional local. Ordena los 40 municipios y permite focalizar recursos con un criterio defendible. Es el instrumento más accionable del proyecto y el que justifica su repetición anual</w:t>
            </w:r>
          </w:p>
        </w:tc>
        <w:tc>
          <w:tcPr/>
          <w:p>
            <w:pPr>
              <w:pStyle w:val="Compact"/>
              <w:jc w:val="left"/>
            </w:pPr>
            <w:r>
              <w:t xml:space="preserve">Fase 1</w:t>
            </w:r>
          </w:p>
        </w:tc>
      </w:tr>
      <w:tr>
        <w:tc>
          <w:tcPr/>
          <w:p>
            <w:pPr>
              <w:pStyle w:val="Compact"/>
              <w:jc w:val="left"/>
            </w:pPr>
            <w:r>
              <w:t xml:space="preserve">Barómetro departamental de impunidad</w:t>
            </w:r>
          </w:p>
        </w:tc>
        <w:tc>
          <w:tcPr/>
          <w:p>
            <w:pPr>
              <w:pStyle w:val="Compact"/>
              <w:jc w:val="left"/>
            </w:pPr>
            <w:r>
              <w:t xml:space="preserve">Porcentaje de casos con imputación, con escrito de acusación y con sentencia, y tiempo promedio entre denuncia y primera actuación, para delitos contra personas defensoras. El CONPES 4063 documentó que el 40 % de las noticias criminales no alcanzaba imputación en el nivel nacional; no existe la cifra departamental</w:t>
            </w:r>
          </w:p>
        </w:tc>
        <w:tc>
          <w:tcPr/>
          <w:p>
            <w:pPr>
              <w:pStyle w:val="Compact"/>
              <w:jc w:val="left"/>
            </w:pPr>
            <w:r>
              <w:t xml:space="preserve">Fase 1</w:t>
            </w:r>
          </w:p>
        </w:tc>
      </w:tr>
      <w:tr>
        <w:tc>
          <w:tcPr/>
          <w:p>
            <w:pPr>
              <w:pStyle w:val="Compact"/>
              <w:jc w:val="left"/>
            </w:pPr>
            <w:r>
              <w:t xml:space="preserve">Mapa de brecha de protección</w:t>
            </w:r>
          </w:p>
        </w:tc>
        <w:tc>
          <w:tcPr/>
          <w:p>
            <w:pPr>
              <w:pStyle w:val="Compact"/>
              <w:jc w:val="left"/>
            </w:pPr>
            <w:r>
              <w:t xml:space="preserve">Contraste entre solicitudes presentadas a la UNP, evaluaciones practicadas, nivel de riesgo determinado y medidas efectivamente otorgadas, desagregado por municipio y por tipo de liderazgo. Muestra dónde falla geográficamente el sistema estatal de protección</w:t>
            </w:r>
          </w:p>
        </w:tc>
        <w:tc>
          <w:tcPr/>
          <w:p>
            <w:pPr>
              <w:pStyle w:val="Compact"/>
              <w:jc w:val="left"/>
            </w:pPr>
            <w:r>
              <w:t xml:space="preserve">Fase 1</w:t>
            </w:r>
          </w:p>
        </w:tc>
      </w:tr>
      <w:tr>
        <w:tc>
          <w:tcPr/>
          <w:p>
            <w:pPr>
              <w:pStyle w:val="Compact"/>
              <w:jc w:val="left"/>
            </w:pPr>
            <w:r>
              <w:t xml:space="preserve">Panel de alertas tempranas y su cumplimiento</w:t>
            </w:r>
          </w:p>
        </w:tc>
        <w:tc>
          <w:tcPr/>
          <w:p>
            <w:pPr>
              <w:pStyle w:val="Compact"/>
              <w:jc w:val="left"/>
            </w:pPr>
            <w:r>
              <w:t xml:space="preserve">Cruce entre las alertas tempranas y de inminencia emitidas por la Defensoría, las actas de la CIPRAT y los hechos violentos posteriores en el mismo territorio. Permite medir si las recomendaciones se cumplieron y qué ocurrió cuando no. Es evidencia que ninguna entidad puede producir sobre sí misma</w:t>
            </w:r>
          </w:p>
        </w:tc>
        <w:tc>
          <w:tcPr/>
          <w:p>
            <w:pPr>
              <w:pStyle w:val="Compact"/>
              <w:jc w:val="left"/>
            </w:pPr>
            <w:r>
              <w:t xml:space="preserve">Fase 1</w:t>
            </w:r>
          </w:p>
        </w:tc>
      </w:tr>
      <w:tr>
        <w:tc>
          <w:tcPr/>
          <w:p>
            <w:pPr>
              <w:pStyle w:val="Compact"/>
              <w:jc w:val="left"/>
            </w:pPr>
            <w:r>
              <w:t xml:space="preserve">Semáforo de respuesta institucional</w:t>
            </w:r>
          </w:p>
        </w:tc>
        <w:tc>
          <w:tcPr/>
          <w:p>
            <w:pPr>
              <w:pStyle w:val="Compact"/>
              <w:jc w:val="left"/>
            </w:pPr>
            <w:r>
              <w:t xml:space="preserve">Registro de qué entidad respondió el derecho de petición, en cuántos días y con qué calidad de dato. La no respuesta deja de ser un obstáculo y se convierte en un hallazgo publicable sobre capacidad institucional y transparencia</w:t>
            </w:r>
          </w:p>
        </w:tc>
        <w:tc>
          <w:tcPr/>
          <w:p>
            <w:pPr>
              <w:pStyle w:val="Compact"/>
              <w:jc w:val="left"/>
            </w:pPr>
            <w:r>
              <w:t xml:space="preserve">Fase 1</w:t>
            </w:r>
          </w:p>
        </w:tc>
      </w:tr>
      <w:tr>
        <w:tc>
          <w:tcPr/>
          <w:p>
            <w:pPr>
              <w:pStyle w:val="Compact"/>
              <w:jc w:val="left"/>
            </w:pPr>
            <w:r>
              <w:t xml:space="preserve">Índice de subregistro</w:t>
            </w:r>
          </w:p>
        </w:tc>
        <w:tc>
          <w:tcPr/>
          <w:p>
            <w:pPr>
              <w:pStyle w:val="Compact"/>
              <w:jc w:val="left"/>
            </w:pPr>
            <w:r>
              <w:t xml:space="preserve">Brecha entre lo que registran las fuentes oficiales y lo que registran las organizaciones sociales y la prensa para el mismo hecho, municipio y período. Es el dato que mejor explica por qué las políticas de seguridad se diseñan sobre información incompleta</w:t>
            </w:r>
          </w:p>
        </w:tc>
        <w:tc>
          <w:tcPr/>
          <w:p>
            <w:pPr>
              <w:pStyle w:val="Compact"/>
              <w:jc w:val="left"/>
            </w:pPr>
            <w:r>
              <w:t xml:space="preserve">Fase 1</w:t>
            </w:r>
          </w:p>
        </w:tc>
      </w:tr>
      <w:tr>
        <w:tc>
          <w:tcPr/>
          <w:p>
            <w:pPr>
              <w:pStyle w:val="Compact"/>
              <w:jc w:val="left"/>
            </w:pPr>
            <w:r>
              <w:t xml:space="preserve">Serie histórica y análisis de patrones 2016-2026</w:t>
            </w:r>
          </w:p>
        </w:tc>
        <w:tc>
          <w:tcPr/>
          <w:p>
            <w:pPr>
              <w:pStyle w:val="Compact"/>
              <w:jc w:val="left"/>
            </w:pPr>
            <w:r>
              <w:t xml:space="preserve">Correlación entre operaciones militares, reconfiguración de grupos armados, disputas territoriales, ciclos electorales y agresiones a liderazgos. Convierte el informe en un análisis de dinámicas y no en un conteo</w:t>
            </w:r>
          </w:p>
        </w:tc>
        <w:tc>
          <w:tcPr/>
          <w:p>
            <w:pPr>
              <w:pStyle w:val="Compact"/>
              <w:jc w:val="left"/>
            </w:pPr>
            <w:r>
              <w:t xml:space="preserve">Fase 1</w:t>
            </w:r>
          </w:p>
        </w:tc>
      </w:tr>
      <w:tr>
        <w:tc>
          <w:tcPr/>
          <w:p>
            <w:pPr>
              <w:pStyle w:val="Compact"/>
              <w:jc w:val="left"/>
            </w:pPr>
            <w:r>
              <w:t xml:space="preserve">Caracterización diferencial de la victimización</w:t>
            </w:r>
          </w:p>
        </w:tc>
        <w:tc>
          <w:tcPr/>
          <w:p>
            <w:pPr>
              <w:pStyle w:val="Compact"/>
              <w:jc w:val="left"/>
            </w:pPr>
            <w:r>
              <w:t xml:space="preserve">Desagregación por sexo, pertenencia étnica (con atención al pueblo Barí), edad, condición de migrante o refugiado, orientación sexual, condición de firmante del Acuerdo y tipo de liderazgo: comunal, campesino, sindical, estudiantil, periodístico y de oposición política</w:t>
            </w:r>
          </w:p>
        </w:tc>
        <w:tc>
          <w:tcPr/>
          <w:p>
            <w:pPr>
              <w:pStyle w:val="Compact"/>
              <w:jc w:val="left"/>
            </w:pPr>
            <w:r>
              <w:t xml:space="preserve">Fase 1</w:t>
            </w:r>
          </w:p>
        </w:tc>
      </w:tr>
      <w:tr>
        <w:tc>
          <w:tcPr/>
          <w:p>
            <w:pPr>
              <w:pStyle w:val="Compact"/>
              <w:jc w:val="left"/>
            </w:pPr>
            <w:r>
              <w:t xml:space="preserve">Módulo piloto de percepción de amenaza a liderazgos</w:t>
            </w:r>
          </w:p>
        </w:tc>
        <w:tc>
          <w:tcPr/>
          <w:p>
            <w:pPr>
              <w:pStyle w:val="Compact"/>
              <w:jc w:val="left"/>
            </w:pPr>
            <w:r>
              <w:t xml:space="preserve">Adaptación de las encuestas oficiales nórdicas de medición del riesgo a cargos y liderazgos (Brå-PTU de Suecia, Kuntaliitto de Finlandia), aplicada a los integrantes de la red y de las instancias locales de derechos humanos, como línea base repetible</w:t>
            </w:r>
          </w:p>
        </w:tc>
        <w:tc>
          <w:tcPr/>
          <w:p>
            <w:pPr>
              <w:pStyle w:val="Compact"/>
              <w:jc w:val="left"/>
            </w:pPr>
            <w:r>
              <w:t xml:space="preserve">Fase 2</w:t>
            </w:r>
          </w:p>
        </w:tc>
      </w:tr>
    </w:tbl>
    <w:p>
      <w:pPr>
        <w:pStyle w:val="BodyText"/>
      </w:pPr>
      <w:r>
        <w:t xml:space="preserve">Instrumentos jurídicos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Desarrollo</w:t>
            </w:r>
          </w:p>
        </w:tc>
        <w:tc>
          <w:tcPr/>
          <w:p>
            <w:pPr>
              <w:pStyle w:val="Compact"/>
              <w:jc w:val="left"/>
            </w:pPr>
            <w:r>
              <w:t xml:space="preserve">Descripción y utilidad</w:t>
            </w:r>
          </w:p>
        </w:tc>
        <w:tc>
          <w:tcPr/>
          <w:p>
            <w:pPr>
              <w:pStyle w:val="Compact"/>
              <w:jc w:val="left"/>
            </w:pPr>
            <w:r>
              <w:t xml:space="preserve">Fase</w:t>
            </w:r>
          </w:p>
        </w:tc>
      </w:tr>
      <w:tr>
        <w:tc>
          <w:tcPr/>
          <w:p>
            <w:pPr>
              <w:pStyle w:val="Compact"/>
              <w:jc w:val="left"/>
            </w:pPr>
            <w:r>
              <w:t xml:space="preserve">Solicitud de audiencia temática ante la CIDH</w:t>
            </w:r>
          </w:p>
        </w:tc>
        <w:tc>
          <w:tcPr/>
          <w:p>
            <w:pPr>
              <w:pStyle w:val="Compact"/>
              <w:jc w:val="left"/>
            </w:pPr>
            <w:r>
              <w:t xml:space="preserve">Audiencia sobre la situación de personas defensoras en Norte de Santander durante un período ordinario de sesiones. Cuesta muy poco, tiene alta visibilidad y compromete al Estado en un escenario internacional. Es probablemente el instrumento con mejor relación entre costo e impacto de todo el proyecto</w:t>
            </w:r>
          </w:p>
        </w:tc>
        <w:tc>
          <w:tcPr/>
          <w:p>
            <w:pPr>
              <w:pStyle w:val="Compact"/>
              <w:jc w:val="left"/>
            </w:pPr>
            <w:r>
              <w:t xml:space="preserve">Fase 1</w:t>
            </w:r>
          </w:p>
        </w:tc>
      </w:tr>
      <w:tr>
        <w:tc>
          <w:tcPr/>
          <w:p>
            <w:pPr>
              <w:pStyle w:val="Compact"/>
              <w:jc w:val="left"/>
            </w:pPr>
            <w:r>
              <w:t xml:space="preserve">Comunicaciones a los Procedimientos Especiales de la ONU</w:t>
            </w:r>
          </w:p>
        </w:tc>
        <w:tc>
          <w:tcPr/>
          <w:p>
            <w:pPr>
              <w:pStyle w:val="Compact"/>
              <w:jc w:val="left"/>
            </w:pPr>
            <w:r>
              <w:t xml:space="preserve">Comunicaciones individuales y de situación a la Relatoría Especial sobre defensores de derechos humanos, a la Relatoría sobre libertad de expresión y al Comité contra la Desaparición Forzada. No requieren agotamiento de recursos internos y producen pronunciamientos que alimentan el litigio interno</w:t>
            </w:r>
          </w:p>
        </w:tc>
        <w:tc>
          <w:tcPr/>
          <w:p>
            <w:pPr>
              <w:pStyle w:val="Compact"/>
              <w:jc w:val="left"/>
            </w:pPr>
            <w:r>
              <w:t xml:space="preserve">Fase 1</w:t>
            </w:r>
          </w:p>
        </w:tc>
      </w:tr>
      <w:tr>
        <w:tc>
          <w:tcPr/>
          <w:p>
            <w:pPr>
              <w:pStyle w:val="Compact"/>
              <w:jc w:val="left"/>
            </w:pPr>
            <w:r>
              <w:t xml:space="preserve">Solicitud de revocatoria de archivos y control de la investigación</w:t>
            </w:r>
          </w:p>
        </w:tc>
        <w:tc>
          <w:tcPr/>
          <w:p>
            <w:pPr>
              <w:pStyle w:val="Compact"/>
              <w:jc w:val="left"/>
            </w:pPr>
            <w:r>
              <w:t xml:space="preserve">En los casos archivados por la Fiscalía, solicitud de reanudación cuando surjan nuevos elementos, constitución en víctima, solicitud de asignación a la Unidad Especial de Investigación creada por el Decreto Ley 898 de 2017 y control de garantías cuando proceda</w:t>
            </w:r>
          </w:p>
        </w:tc>
        <w:tc>
          <w:tcPr/>
          <w:p>
            <w:pPr>
              <w:pStyle w:val="Compact"/>
              <w:jc w:val="left"/>
            </w:pPr>
            <w:r>
              <w:t xml:space="preserve">Fase 1</w:t>
            </w:r>
          </w:p>
        </w:tc>
      </w:tr>
      <w:tr>
        <w:tc>
          <w:tcPr/>
          <w:p>
            <w:pPr>
              <w:pStyle w:val="Compact"/>
              <w:jc w:val="left"/>
            </w:pPr>
            <w:r>
              <w:t xml:space="preserve">Acciones de tutela por mora y por determinación del nivel de riesgo</w:t>
            </w:r>
          </w:p>
        </w:tc>
        <w:tc>
          <w:tcPr/>
          <w:p>
            <w:pPr>
              <w:pStyle w:val="Compact"/>
              <w:jc w:val="left"/>
            </w:pPr>
            <w:r>
              <w:t xml:space="preserve">Tutela por mora de la UNP en la evaluación de riesgo, recursos contra la determinación del nivel y solicitudes de revisión extraordinaria cuando el esquema no corresponde al riesgo real. Es una vía rápida, barata y con jurisprudencia consolidada, incluida la Sentencia SU-546 de 2023, que declaró el Estado de Cosas Inconstitucional sobre personas defensoras, y las Sentencias T-123 de 2023 y T-432 de 2024</w:t>
            </w:r>
          </w:p>
        </w:tc>
        <w:tc>
          <w:tcPr/>
          <w:p>
            <w:pPr>
              <w:pStyle w:val="Compact"/>
              <w:jc w:val="left"/>
            </w:pPr>
            <w:r>
              <w:t xml:space="preserve">Fase 1</w:t>
            </w:r>
          </w:p>
        </w:tc>
      </w:tr>
      <w:tr>
        <w:tc>
          <w:tcPr/>
          <w:p>
            <w:pPr>
              <w:pStyle w:val="Compact"/>
              <w:jc w:val="left"/>
            </w:pPr>
            <w:r>
              <w:t xml:space="preserve">Medidas cautelares colectivas para comunidades del Catatumbo y para la red</w:t>
            </w:r>
          </w:p>
        </w:tc>
        <w:tc>
          <w:tcPr/>
          <w:p>
            <w:pPr>
              <w:pStyle w:val="Compact"/>
              <w:jc w:val="left"/>
            </w:pPr>
            <w:r>
              <w:t xml:space="preserve">Solicitud ante la CIDH a favor de comunidades y organizaciones, no solo de individuos, en articulación con la Ruta de Protección Colectiva del Decreto 2078 de 2017 y el programa del Decreto 660 de 2018. El impacto es mayor y el costo marginal, menor</w:t>
            </w:r>
          </w:p>
        </w:tc>
        <w:tc>
          <w:tcPr/>
          <w:p>
            <w:pPr>
              <w:pStyle w:val="Compact"/>
              <w:jc w:val="left"/>
            </w:pPr>
            <w:r>
              <w:t xml:space="preserve">Fase 1</w:t>
            </w:r>
          </w:p>
        </w:tc>
      </w:tr>
      <w:tr>
        <w:tc>
          <w:tcPr/>
          <w:p>
            <w:pPr>
              <w:pStyle w:val="Compact"/>
              <w:jc w:val="left"/>
            </w:pPr>
            <w:r>
              <w:t xml:space="preserve">Acción de reparación directa por falla del servicio de protección</w:t>
            </w:r>
          </w:p>
        </w:tc>
        <w:tc>
          <w:tcPr/>
          <w:p>
            <w:pPr>
              <w:pStyle w:val="Compact"/>
              <w:jc w:val="left"/>
            </w:pPr>
            <w:r>
              <w:t xml:space="preserve">Estudio de viabilidad y, cuando proceda, demanda ante la jurisdicción contencioso administrativa en casos de personas asesinadas pese a contar con esquema o con solicitud pendiente. Genera precedente y modifica incentivos institucionales</w:t>
            </w:r>
          </w:p>
        </w:tc>
        <w:tc>
          <w:tcPr/>
          <w:p>
            <w:pPr>
              <w:pStyle w:val="Compact"/>
              <w:jc w:val="left"/>
            </w:pPr>
            <w:r>
              <w:t xml:space="preserve">Fase 2</w:t>
            </w:r>
          </w:p>
        </w:tc>
      </w:tr>
      <w:tr>
        <w:tc>
          <w:tcPr/>
          <w:p>
            <w:pPr>
              <w:pStyle w:val="Compact"/>
              <w:jc w:val="left"/>
            </w:pPr>
            <w:r>
              <w:t xml:space="preserve">Acción de cumplimiento sobre el Decreto 660 de 2018</w:t>
            </w:r>
          </w:p>
        </w:tc>
        <w:tc>
          <w:tcPr/>
          <w:p>
            <w:pPr>
              <w:pStyle w:val="Compact"/>
              <w:jc w:val="left"/>
            </w:pPr>
            <w:r>
              <w:t xml:space="preserve">Acción de la Ley 393 de 1997 para exigir la implementación efectiva del Programa Integral de Seguridad y Protección para Comunidades y Organizaciones en los municipios donde no opera</w:t>
            </w:r>
          </w:p>
        </w:tc>
        <w:tc>
          <w:tcPr/>
          <w:p>
            <w:pPr>
              <w:pStyle w:val="Compact"/>
              <w:jc w:val="left"/>
            </w:pPr>
            <w:r>
              <w:t xml:space="preserve">Fase 2</w:t>
            </w:r>
          </w:p>
        </w:tc>
      </w:tr>
      <w:tr>
        <w:tc>
          <w:tcPr/>
          <w:p>
            <w:pPr>
              <w:pStyle w:val="Compact"/>
              <w:jc w:val="left"/>
            </w:pPr>
            <w:r>
              <w:t xml:space="preserve">Amicus curiae ante la JEP y la Corte Constitucional</w:t>
            </w:r>
          </w:p>
        </w:tc>
        <w:tc>
          <w:tcPr/>
          <w:p>
            <w:pPr>
              <w:pStyle w:val="Compact"/>
              <w:jc w:val="left"/>
            </w:pPr>
            <w:r>
              <w:t xml:space="preserve">Intervenciones técnicas en macrocasos territoriales y en el seguimiento de la Sentencia T-025 de 2004 y sus autos sobre desplazamiento, y aportes al seguimiento del Estado de Cosas Inconstitucional de la Sentencia SU-546 de 2023, con la evidencia del observatorio</w:t>
            </w:r>
          </w:p>
        </w:tc>
        <w:tc>
          <w:tcPr/>
          <w:p>
            <w:pPr>
              <w:pStyle w:val="Compact"/>
              <w:jc w:val="left"/>
            </w:pPr>
            <w:r>
              <w:t xml:space="preserve">Fase 2</w:t>
            </w:r>
          </w:p>
        </w:tc>
      </w:tr>
    </w:tbl>
    <w:p>
      <w:pPr>
        <w:pStyle w:val="BodyText"/>
      </w:pPr>
      <w:r>
        <w:t xml:space="preserve">Instrumentos institucionales y de sostenibilidad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Desarrollo</w:t>
            </w:r>
          </w:p>
        </w:tc>
        <w:tc>
          <w:tcPr/>
          <w:p>
            <w:pPr>
              <w:pStyle w:val="Compact"/>
              <w:jc w:val="left"/>
            </w:pPr>
            <w:r>
              <w:t xml:space="preserve">Descripción y utilidad</w:t>
            </w:r>
          </w:p>
        </w:tc>
        <w:tc>
          <w:tcPr/>
          <w:p>
            <w:pPr>
              <w:pStyle w:val="Compact"/>
              <w:jc w:val="left"/>
            </w:pPr>
            <w:r>
              <w:t xml:space="preserve">Fase</w:t>
            </w:r>
          </w:p>
        </w:tc>
      </w:tr>
      <w:tr>
        <w:tc>
          <w:tcPr/>
          <w:p>
            <w:pPr>
              <w:pStyle w:val="Compact"/>
              <w:jc w:val="left"/>
            </w:pPr>
            <w:r>
              <w:t xml:space="preserve">Red de corresponsales municipales</w:t>
            </w:r>
          </w:p>
        </w:tc>
        <w:tc>
          <w:tcPr/>
          <w:p>
            <w:pPr>
              <w:pStyle w:val="Compact"/>
              <w:jc w:val="left"/>
            </w:pPr>
            <w:r>
              <w:t xml:space="preserve">Cuarenta personas (personeros, personal de las instancias locales de derechos humanos y líderes de organizaciones) formadas en un formulario común de documentación, integradas a la red departamental de defensores como su función de documentación</w:t>
            </w:r>
          </w:p>
        </w:tc>
        <w:tc>
          <w:tcPr/>
          <w:p>
            <w:pPr>
              <w:pStyle w:val="Compact"/>
              <w:jc w:val="left"/>
            </w:pPr>
            <w:r>
              <w:t xml:space="preserve">Fase 1</w:t>
            </w:r>
          </w:p>
        </w:tc>
      </w:tr>
      <w:tr>
        <w:tc>
          <w:tcPr/>
          <w:p>
            <w:pPr>
              <w:pStyle w:val="Compact"/>
              <w:jc w:val="left"/>
            </w:pPr>
            <w:r>
              <w:t xml:space="preserve">Red departamental de defensores</w:t>
            </w:r>
          </w:p>
        </w:tc>
        <w:tc>
          <w:tcPr/>
          <w:p>
            <w:pPr>
              <w:pStyle w:val="Compact"/>
              <w:jc w:val="left"/>
            </w:pPr>
            <w:r>
              <w:t xml:space="preserve">Nodos en las seis subregiones, protocolo de alerta y reacción rápida, guía de autoprotección, instalación pública y audiencia de balance (numeral 15)</w:t>
            </w:r>
          </w:p>
        </w:tc>
        <w:tc>
          <w:tcPr/>
          <w:p>
            <w:pPr>
              <w:pStyle w:val="Compact"/>
              <w:jc w:val="left"/>
            </w:pPr>
            <w:r>
              <w:t xml:space="preserve">Fase 1</w:t>
            </w:r>
          </w:p>
        </w:tc>
      </w:tr>
      <w:tr>
        <w:tc>
          <w:tcPr/>
          <w:p>
            <w:pPr>
              <w:pStyle w:val="Compact"/>
              <w:jc w:val="left"/>
            </w:pPr>
            <w:r>
              <w:t xml:space="preserve">Convenio marco de intercambio de información</w:t>
            </w:r>
          </w:p>
        </w:tc>
        <w:tc>
          <w:tcPr/>
          <w:p>
            <w:pPr>
              <w:pStyle w:val="Compact"/>
              <w:jc w:val="left"/>
            </w:pPr>
            <w:r>
              <w:t xml:space="preserve">Acuerdos con la Defensoría, las personerías y las universidades para el flujo periódico de datos con reserva, de modo que la recolección no dependa de derechos de petición en cada ciclo</w:t>
            </w:r>
          </w:p>
        </w:tc>
        <w:tc>
          <w:tcPr/>
          <w:p>
            <w:pPr>
              <w:pStyle w:val="Compact"/>
              <w:jc w:val="left"/>
            </w:pPr>
            <w:r>
              <w:t xml:space="preserve">Fase 1</w:t>
            </w:r>
          </w:p>
        </w:tc>
      </w:tr>
      <w:tr>
        <w:tc>
          <w:tcPr/>
          <w:p>
            <w:pPr>
              <w:pStyle w:val="Compact"/>
              <w:jc w:val="left"/>
            </w:pPr>
            <w:r>
              <w:t xml:space="preserve">Semilleros de investigación con la UFPS y la Universidad de Pamplona</w:t>
            </w:r>
          </w:p>
        </w:tc>
        <w:tc>
          <w:tcPr/>
          <w:p>
            <w:pPr>
              <w:pStyle w:val="Compact"/>
              <w:jc w:val="left"/>
            </w:pPr>
            <w:r>
              <w:t xml:space="preserve">Vinculación de estudiantes de derecho, ciencia política y estadística mediante práctica académica. Costo marginal casi nulo y sostenibilidad real del observatorio</w:t>
            </w:r>
          </w:p>
        </w:tc>
        <w:tc>
          <w:tcPr/>
          <w:p>
            <w:pPr>
              <w:pStyle w:val="Compact"/>
              <w:jc w:val="left"/>
            </w:pPr>
            <w:r>
              <w:t xml:space="preserve">Fase 1</w:t>
            </w:r>
          </w:p>
        </w:tc>
      </w:tr>
      <w:tr>
        <w:tc>
          <w:tcPr/>
          <w:p>
            <w:pPr>
              <w:pStyle w:val="Compact"/>
              <w:jc w:val="left"/>
            </w:pPr>
            <w:r>
              <w:t xml:space="preserve">Publicación en datos abiertos</w:t>
            </w:r>
          </w:p>
        </w:tc>
        <w:tc>
          <w:tcPr/>
          <w:p>
            <w:pPr>
              <w:pStyle w:val="Compact"/>
              <w:jc w:val="left"/>
            </w:pPr>
            <w:r>
              <w:t xml:space="preserve">Serie agregada y anonimizada disponible para reutilización por academia, medios y entidades. Aumenta legitimidad, permite auditoría metodológica externa y multiplica el uso del dato</w:t>
            </w:r>
          </w:p>
        </w:tc>
        <w:tc>
          <w:tcPr/>
          <w:p>
            <w:pPr>
              <w:pStyle w:val="Compact"/>
              <w:jc w:val="left"/>
            </w:pPr>
            <w:r>
              <w:t xml:space="preserve">Fase 1</w:t>
            </w:r>
          </w:p>
        </w:tc>
      </w:tr>
      <w:tr>
        <w:tc>
          <w:tcPr/>
          <w:p>
            <w:pPr>
              <w:pStyle w:val="Compact"/>
              <w:jc w:val="left"/>
            </w:pPr>
            <w:r>
              <w:t xml:space="preserve">Protocolo de custodia y no entrega de datos crudos</w:t>
            </w:r>
          </w:p>
        </w:tc>
        <w:tc>
          <w:tcPr/>
          <w:p>
            <w:pPr>
              <w:pStyle w:val="Compact"/>
              <w:jc w:val="left"/>
            </w:pPr>
            <w:r>
              <w:t xml:space="preserve">La base con identidades y relatos no se entrega a ninguna entidad, incluida la Gobernación. Se entregan agregados, análisis y recomendaciones. Sin esta regla el observatorio pierde a sus fuentes en el primer ciclo</w:t>
            </w:r>
          </w:p>
        </w:tc>
        <w:tc>
          <w:tcPr/>
          <w:p>
            <w:pPr>
              <w:pStyle w:val="Compact"/>
              <w:jc w:val="left"/>
            </w:pPr>
            <w:r>
              <w:t xml:space="preserve">Fase 1</w:t>
            </w:r>
          </w:p>
        </w:tc>
      </w:tr>
      <w:tr>
        <w:tc>
          <w:tcPr/>
          <w:p>
            <w:pPr>
              <w:pStyle w:val="Compact"/>
              <w:jc w:val="left"/>
            </w:pPr>
            <w:r>
              <w:t xml:space="preserve">Adhesión a redes nacionales e internacionales</w:t>
            </w:r>
          </w:p>
        </w:tc>
        <w:tc>
          <w:tcPr/>
          <w:p>
            <w:pPr>
              <w:pStyle w:val="Compact"/>
              <w:jc w:val="left"/>
            </w:pPr>
            <w:r>
              <w:t xml:space="preserve">Articulación metodológica con Somos Defensores, CINEP, Indepaz y la FLIP, y gestión de cooperación con ProtectDefenders.eu, Front Line Defenders, Civil Rights Defenders y las embajadas nórdicas y de la Unión Europea, para financiar los ciclos siguientes</w:t>
            </w:r>
          </w:p>
        </w:tc>
        <w:tc>
          <w:tcPr/>
          <w:p>
            <w:pPr>
              <w:pStyle w:val="Compact"/>
              <w:jc w:val="left"/>
            </w:pPr>
            <w:r>
              <w:t xml:space="preserve">Fase 1</w:t>
            </w:r>
          </w:p>
        </w:tc>
      </w:tr>
    </w:tbl>
    <w:bookmarkEnd w:id="49"/>
    <w:bookmarkStart w:id="50" w:name="tres-desarrollos-que-conviene-destacar"/>
    <w:p>
      <w:pPr>
        <w:pStyle w:val="Heading2"/>
      </w:pPr>
      <w:r>
        <w:t xml:space="preserve">25. Tres desarrollos que conviene destacar</w:t>
      </w:r>
    </w:p>
    <w:p>
      <w:pPr>
        <w:pStyle w:val="FirstParagraph"/>
      </w:pPr>
      <w:r>
        <w:t xml:space="preserve">El Índice Departamental de Riesgo para el Liderazgo Social. Es el producto con mayor valor político y técnico del componente de documentación. Un ordenamiento de los 40 municipios según riesgo compuesto le permite al departamento justificar dónde concentra recursos de seguridad y protección con un criterio auditable, y le permite a cada alcaldía saber en qué posición está. Es además el instrumento que hace natural repetir el ejercicio cada año, porque su valor crece con la serie.</w:t>
      </w:r>
    </w:p>
    <w:p>
      <w:pPr>
        <w:pStyle w:val="BodyText"/>
      </w:pPr>
      <w:r>
        <w:t xml:space="preserve">El panel de alertas tempranas y su cumplimiento. Es el desarrollo de mayor sensibilidad. Cruzar las alertas de la Defensoría con las actas de la CIPRAT y con los hechos violentos posteriores permite establecer si las recomendaciones se implementaron y qué ocurrió cuando no. Ninguna entidad puede producir esa evidencia sobre sí misma, y es exactamente el tipo de insumo que justifica la existencia de un observatorio de sociedad civil. Debe manejarse con rigor metodológico extremo, porque será el capítulo más controvertido del informe.</w:t>
      </w:r>
    </w:p>
    <w:p>
      <w:pPr>
        <w:pStyle w:val="BodyText"/>
      </w:pPr>
      <w:r>
        <w:t xml:space="preserve">La red departamental de defensores. Es la respuesta a la pregunta de qué queda cuando termina el contrato. Una red instalada con acta y plan propio, nodos en las seis subregiones, cuarenta corresponsales formados en un formulario común de documentación y un protocolo de alerta entre pares constituyen una capacidad permanente de bajo costo, articulada con las instancias locales que el propio Plan de Desarrollo se comprometió a fortalecer en la meta 749. Reemplaza a la sede física como activo sostenible del proyecto y, a diferencia de un inmueble, no puede ser atacada en un punto. Es además la destinataria natural de la solicitud de medidas cautelares colectivas, con lo cual la protección colectiva queda enlazada al litigio.</w:t>
      </w:r>
    </w:p>
    <w:bookmarkEnd w:id="50"/>
    <w:bookmarkStart w:id="51" w:name="X66b16e602cd2cc2bdda9b1d76f2ce6d2087198e"/>
    <w:p>
      <w:pPr>
        <w:pStyle w:val="Heading2"/>
      </w:pPr>
      <w:r>
        <w:t xml:space="preserve">26. Qué cambió frente a las formulaciones anteriores</w:t>
      </w:r>
    </w:p>
    <w:p>
      <w:pPr>
        <w:pStyle w:val="FirstParagraph"/>
      </w:pPr>
      <w:r>
        <w:t xml:space="preserve">El proyecto partió de una propuesta de Casa de los Derechos Humanos con sede física y presupuesto cercano a los mil millones de pesos; una segunda formulación lo convirtió en observatorio con componente jurídico financiado con el aporte de la Corporación. Esta versión integra ambas líneas de trabajo y modifica la estructura financiera. Se deja constancia de los ajustes para que la decisión sobre el alcance se tome con información completa.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Decisión</w:t>
            </w:r>
          </w:p>
        </w:tc>
        <w:tc>
          <w:tcPr/>
          <w:p>
            <w:pPr>
              <w:pStyle w:val="Compact"/>
              <w:jc w:val="left"/>
            </w:pPr>
            <w:r>
              <w:t xml:space="preserve">Formulación anterior</w:t>
            </w:r>
          </w:p>
        </w:tc>
        <w:tc>
          <w:tcPr/>
          <w:p>
            <w:pPr>
              <w:pStyle w:val="Compact"/>
              <w:jc w:val="left"/>
            </w:pPr>
            <w:r>
              <w:t xml:space="preserve">Esta formulación</w:t>
            </w:r>
          </w:p>
        </w:tc>
        <w:tc>
          <w:tcPr/>
          <w:p>
            <w:pPr>
              <w:pStyle w:val="Compact"/>
              <w:jc w:val="left"/>
            </w:pPr>
            <w:r>
              <w:t xml:space="preserve">Efecto</w:t>
            </w:r>
          </w:p>
        </w:tc>
      </w:tr>
      <w:tr>
        <w:tc>
          <w:tcPr/>
          <w:p>
            <w:pPr>
              <w:pStyle w:val="Compact"/>
              <w:jc w:val="left"/>
            </w:pPr>
            <w:r>
              <w:t xml:space="preserve">Financiación del litigio estratégico</w:t>
            </w:r>
          </w:p>
        </w:tc>
        <w:tc>
          <w:tcPr/>
          <w:p>
            <w:pPr>
              <w:pStyle w:val="Compact"/>
              <w:jc w:val="left"/>
            </w:pPr>
            <w:r>
              <w:t xml:space="preserve">Subcontrato de $78.500.000 pagado íntegramente con el aporte de la Corporación</w:t>
            </w:r>
          </w:p>
        </w:tc>
        <w:tc>
          <w:tcPr/>
          <w:p>
            <w:pPr>
              <w:pStyle w:val="Compact"/>
              <w:jc w:val="left"/>
            </w:pPr>
            <w:r>
              <w:t xml:space="preserve">El mismo subcontrato de $78.500.000 y el componente jurídico completo ($117.000.000) financiados íntegramente por la Gobernación</w:t>
            </w:r>
          </w:p>
        </w:tc>
        <w:tc>
          <w:tcPr/>
          <w:p>
            <w:pPr>
              <w:pStyle w:val="Compact"/>
              <w:jc w:val="left"/>
            </w:pPr>
            <w:r>
              <w:t xml:space="preserve">El aporte público se concentra en el componente central del proyecto</w:t>
            </w:r>
          </w:p>
        </w:tc>
      </w:tr>
      <w:tr>
        <w:tc>
          <w:tcPr/>
          <w:p>
            <w:pPr>
              <w:pStyle w:val="Compact"/>
              <w:jc w:val="left"/>
            </w:pPr>
            <w:r>
              <w:t xml:space="preserve">Aporte de la Corporación</w:t>
            </w:r>
          </w:p>
        </w:tc>
        <w:tc>
          <w:tcPr/>
          <w:p>
            <w:pPr>
              <w:pStyle w:val="Compact"/>
              <w:jc w:val="left"/>
            </w:pPr>
            <w:r>
              <w:t xml:space="preserve">$85.714.286 en dinero (30 % del valor total), aplicados al subcontrato de litigio y a imprevistos</w:t>
            </w:r>
          </w:p>
        </w:tc>
        <w:tc>
          <w:tcPr/>
          <w:p>
            <w:pPr>
              <w:pStyle w:val="Compact"/>
              <w:jc w:val="left"/>
            </w:pPr>
            <w:r>
              <w:t xml:space="preserve">$85.714.286 en dinero (30 % del valor total), aplicados al sistema de información, a la investigación del informe, a la facilitación y a los imprevistos</w:t>
            </w:r>
          </w:p>
        </w:tc>
        <w:tc>
          <w:tcPr/>
          <w:p>
            <w:pPr>
              <w:pStyle w:val="Compact"/>
              <w:jc w:val="left"/>
            </w:pPr>
            <w:r>
              <w:t xml:space="preserve">Se conservan el monto y el porcentaje que habilitan la celebración directa; cambia su aplicación: la Corporación financia y ejecuta la producción del informe y deja de cargar con el litigio</w:t>
            </w:r>
          </w:p>
        </w:tc>
      </w:tr>
      <w:tr>
        <w:tc>
          <w:tcPr/>
          <w:p>
            <w:pPr>
              <w:pStyle w:val="Compact"/>
              <w:jc w:val="left"/>
            </w:pPr>
            <w:r>
              <w:t xml:space="preserve">Modalidad de contratación</w:t>
            </w:r>
          </w:p>
        </w:tc>
        <w:tc>
          <w:tcPr/>
          <w:p>
            <w:pPr>
              <w:pStyle w:val="Compact"/>
              <w:jc w:val="left"/>
            </w:pPr>
            <w:r>
              <w:t xml:space="preserve">Convenio de asociación con celebración directa por aporte del 30 % (artículo 5 del Decreto 092 de 2017)</w:t>
            </w:r>
          </w:p>
        </w:tc>
        <w:tc>
          <w:tcPr/>
          <w:p>
            <w:pPr>
              <w:pStyle w:val="Compact"/>
              <w:jc w:val="left"/>
            </w:pPr>
            <w:r>
              <w:t xml:space="preserve">Se mantiene la misma modalidad y el mismo aporte del 30 %; solo cambia su aplicación (del litigio al observatorio)</w:t>
            </w:r>
          </w:p>
        </w:tc>
        <w:tc>
          <w:tcPr/>
          <w:p>
            <w:pPr>
              <w:pStyle w:val="Compact"/>
              <w:jc w:val="left"/>
            </w:pPr>
            <w:r>
              <w:t xml:space="preserve">La celebración directa no se altera; el contrato de interés público del artículo 2 queda documentado únicamente como vía subsidiaria</w:t>
            </w:r>
          </w:p>
        </w:tc>
      </w:tr>
      <w:tr>
        <w:tc>
          <w:tcPr/>
          <w:p>
            <w:pPr>
              <w:pStyle w:val="Compact"/>
              <w:jc w:val="left"/>
            </w:pPr>
            <w:r>
              <w:t xml:space="preserve">Valor y aporte departamental</w:t>
            </w:r>
          </w:p>
        </w:tc>
        <w:tc>
          <w:tcPr/>
          <w:p>
            <w:pPr>
              <w:pStyle w:val="Compact"/>
              <w:jc w:val="left"/>
            </w:pPr>
            <w:r>
              <w:t xml:space="preserve">$285.714.286 totales; $200.000.000 de la Gobernación</w:t>
            </w:r>
          </w:p>
        </w:tc>
        <w:tc>
          <w:tcPr/>
          <w:p>
            <w:pPr>
              <w:pStyle w:val="Compact"/>
              <w:jc w:val="left"/>
            </w:pPr>
            <w:r>
              <w:t xml:space="preserve">Sin cambio: $285.714.286 totales; $200.000.000 de la Gobernación y $85.714.286 de la Corporación</w:t>
            </w:r>
          </w:p>
        </w:tc>
        <w:tc>
          <w:tcPr/>
          <w:p>
            <w:pPr>
              <w:pStyle w:val="Compact"/>
              <w:jc w:val="left"/>
            </w:pPr>
            <w:r>
              <w:t xml:space="preserve">El CDP y la disponibilidad de la vigencia 2026 se mantienen en los valores ya previstos</w:t>
            </w:r>
          </w:p>
        </w:tc>
      </w:tr>
      <w:tr>
        <w:tc>
          <w:tcPr/>
          <w:p>
            <w:pPr>
              <w:pStyle w:val="Compact"/>
              <w:jc w:val="left"/>
            </w:pPr>
            <w:r>
              <w:t xml:space="preserve">Boletines</w:t>
            </w:r>
          </w:p>
        </w:tc>
        <w:tc>
          <w:tcPr/>
          <w:p>
            <w:pPr>
              <w:pStyle w:val="Compact"/>
              <w:jc w:val="left"/>
            </w:pPr>
            <w:r>
              <w:t xml:space="preserve">4 boletines (2 impresos y 2 digitales)</w:t>
            </w:r>
          </w:p>
        </w:tc>
        <w:tc>
          <w:tcPr/>
          <w:p>
            <w:pPr>
              <w:pStyle w:val="Compact"/>
              <w:jc w:val="left"/>
            </w:pPr>
            <w:r>
              <w:t xml:space="preserve">10 boletines semanales digitales y 2 impresos, con el mismo presupuesto del producto (el costo es principalmente el trabajo del analista, ya financiado)</w:t>
            </w:r>
          </w:p>
        </w:tc>
        <w:tc>
          <w:tcPr/>
          <w:p>
            <w:pPr>
              <w:pStyle w:val="Compact"/>
              <w:jc w:val="left"/>
            </w:pPr>
            <w:r>
              <w:t xml:space="preserve">Recupera la periodicidad semanal del diseño original del proyecto de protección; reporta más unidades a las metas 757 y 758</w:t>
            </w:r>
          </w:p>
        </w:tc>
      </w:tr>
      <w:tr>
        <w:tc>
          <w:tcPr/>
          <w:p>
            <w:pPr>
              <w:pStyle w:val="Compact"/>
              <w:jc w:val="left"/>
            </w:pPr>
            <w:r>
              <w:t xml:space="preserve">Metas e indicadores de litigio</w:t>
            </w:r>
          </w:p>
        </w:tc>
        <w:tc>
          <w:tcPr/>
          <w:p>
            <w:pPr>
              <w:pStyle w:val="Compact"/>
              <w:jc w:val="left"/>
            </w:pPr>
            <w:r>
              <w:t xml:space="preserve">3 peticiones ante la CIDH, 3 solicitudes de medidas cautelares y 2 comunicaciones a Procedimientos Especiales de la ONU; indicadores 450203801 (rutas de atención, meta 1) y 450100600 con el nombre del catálogo</w:t>
            </w:r>
          </w:p>
        </w:tc>
        <w:tc>
          <w:tcPr/>
          <w:p>
            <w:pPr>
              <w:pStyle w:val="Compact"/>
              <w:jc w:val="left"/>
            </w:pPr>
            <w:r>
              <w:t xml:space="preserve">Se mantienen 3 peticiones, 3 solicitudes de medidas cautelares (ahora con al menos una colectiva exigida) y 2 comunicaciones a la ONU, financiadas con el aporte público; se suprime el indicador de rutas de atención (la ruta pertenece al programa departamental existente, meta 760) y el indicador del Producto 5 se verifica con expedientes y actuaciones radicadas</w:t>
            </w:r>
          </w:p>
        </w:tc>
        <w:tc>
          <w:tcPr/>
          <w:p>
            <w:pPr>
              <w:pStyle w:val="Compact"/>
              <w:jc w:val="left"/>
            </w:pPr>
            <w:r>
              <w:t xml:space="preserve">El nivel se eleva por la vía de la financiación pública y del compromiso expreso de llegar a la CIDH; las metas se formulan como actuaciones radicadas</w:t>
            </w:r>
          </w:p>
        </w:tc>
      </w:tr>
      <w:tr>
        <w:tc>
          <w:tcPr/>
          <w:p>
            <w:pPr>
              <w:pStyle w:val="Compact"/>
              <w:jc w:val="left"/>
            </w:pPr>
            <w:r>
              <w:t xml:space="preserve">Red de defensores</w:t>
            </w:r>
          </w:p>
        </w:tc>
        <w:tc>
          <w:tcPr/>
          <w:p>
            <w:pPr>
              <w:pStyle w:val="Compact"/>
              <w:jc w:val="left"/>
            </w:pPr>
            <w:r>
              <w:t xml:space="preserve">Red de corresponsales municipales como instrumento del observatorio</w:t>
            </w:r>
          </w:p>
        </w:tc>
        <w:tc>
          <w:tcPr/>
          <w:p>
            <w:pPr>
              <w:pStyle w:val="Compact"/>
              <w:jc w:val="left"/>
            </w:pPr>
            <w:r>
              <w:t xml:space="preserve">Red departamental de defensores como componente propio (Producto 7), que integra la red de corresponsales, con protocolo de alerta entre pares, guía de autoprotección e instalación pública; sus encuentros subregionales se realizan en las jornadas territoriales y su audiencia de balance en la audiencia pública, para no duplicar costos</w:t>
            </w:r>
          </w:p>
        </w:tc>
        <w:tc>
          <w:tcPr/>
          <w:p>
            <w:pPr>
              <w:pStyle w:val="Compact"/>
              <w:jc w:val="left"/>
            </w:pPr>
            <w:r>
              <w:t xml:space="preserve">Materializa las metas 749, 760, 761 y 764 sin ampliar el presupuesto; crea el activo de sostenibilidad y la destinataria de las medidas cautelares colectivas</w:t>
            </w:r>
          </w:p>
        </w:tc>
      </w:tr>
      <w:tr>
        <w:tc>
          <w:tcPr/>
          <w:p>
            <w:pPr>
              <w:pStyle w:val="Compact"/>
              <w:jc w:val="left"/>
            </w:pPr>
            <w:r>
              <w:t xml:space="preserve">Referentes</w:t>
            </w:r>
          </w:p>
        </w:tc>
        <w:tc>
          <w:tcPr/>
          <w:p>
            <w:pPr>
              <w:pStyle w:val="Compact"/>
              <w:jc w:val="left"/>
            </w:pPr>
            <w:r>
              <w:t xml:space="preserve">Sin capítulo de referentes</w:t>
            </w:r>
          </w:p>
        </w:tc>
        <w:tc>
          <w:tcPr/>
          <w:p>
            <w:pPr>
              <w:pStyle w:val="Compact"/>
              <w:jc w:val="left"/>
            </w:pPr>
            <w:r>
              <w:t xml:space="preserve">Capítulo de referentes aplicados: estándares nórdicos, Bogotá, Medellín y Antioquia (numeral 16)</w:t>
            </w:r>
          </w:p>
        </w:tc>
        <w:tc>
          <w:tcPr/>
          <w:p>
            <w:pPr>
              <w:pStyle w:val="Compact"/>
              <w:jc w:val="left"/>
            </w:pPr>
            <w:r>
              <w:t xml:space="preserve">Sustenta el diseño en experiencias verificables y abre puertas de cooperación</w:t>
            </w:r>
          </w:p>
        </w:tc>
      </w:tr>
      <w:tr>
        <w:tc>
          <w:tcPr/>
          <w:p>
            <w:pPr>
              <w:pStyle w:val="Compact"/>
              <w:jc w:val="left"/>
            </w:pPr>
            <w:r>
              <w:t xml:space="preserve">Sede física</w:t>
            </w:r>
          </w:p>
        </w:tc>
        <w:tc>
          <w:tcPr/>
          <w:p>
            <w:pPr>
              <w:pStyle w:val="Compact"/>
              <w:jc w:val="left"/>
            </w:pPr>
            <w:r>
              <w:t xml:space="preserve">Suprimida en la formulación anterior</w:t>
            </w:r>
          </w:p>
        </w:tc>
        <w:tc>
          <w:tcPr/>
          <w:p>
            <w:pPr>
              <w:pStyle w:val="Compact"/>
              <w:jc w:val="left"/>
            </w:pPr>
            <w:r>
              <w:t xml:space="preserve">Se mantiene suprimida; salas seguras por horas y equipos en alquiler, financiados por la Corporación</w:t>
            </w:r>
          </w:p>
        </w:tc>
        <w:tc>
          <w:tcPr/>
          <w:p>
            <w:pPr>
              <w:pStyle w:val="Compact"/>
              <w:jc w:val="left"/>
            </w:pPr>
            <w:r>
              <w:t xml:space="preserve">Concentra el gasto público en investigación y litigio, no en instalaciones</w:t>
            </w:r>
          </w:p>
        </w:tc>
      </w:tr>
    </w:tbl>
    <w:p>
      <w:pPr>
        <w:pStyle w:val="BodyText"/>
      </w:pPr>
      <w:r>
        <w:t xml:space="preserve">Una advertencia honesta que se conserva de la formulación anterior. La supresión del fondo de protección material significa que el proyecto no puede trasladar ni alojar por cuenta propia a una persona amenazada. Documenta su situación, litiga su caso y presiona a la Unidad Nacional de Protección, pero no la mueve del municipio de riesgo. Si durante la ejecución aparece un caso de amenaza inminente, la respuesta dependerá de la ruta estatal, activada mediante el trámite de emergencia del artículo 2.4.1.2.9 del Decreto 1066 de 2015. La línea de imprevistos de la Corporación puede reservarse para contingencias de esa naturaleza; conviene decidirlo de manera consciente.</w:t>
      </w:r>
    </w:p>
    <w:bookmarkEnd w:id="51"/>
    <w:bookmarkStart w:id="52" w:name="sostenibilidad-y-proyección"/>
    <w:p>
      <w:pPr>
        <w:pStyle w:val="Heading2"/>
      </w:pPr>
      <w:r>
        <w:t xml:space="preserve">27. Sostenibilidad y proyección</w:t>
      </w:r>
    </w:p>
    <w:p>
      <w:pPr>
        <w:pStyle w:val="FirstParagraph"/>
      </w:pPr>
      <w:r>
        <w:t xml:space="preserve">Al 31 de diciembre de 2026 quedan instalados un sistema de información con su metodología documentada, una red departamental de defensores con acta y plan propio, cuarenta corresponsales activos, una serie de datos que crece en valor con cada ciclo, un conjunto de casos en trámite ante la Fiscalía, la UNP y el Sistema Interamericano (peticiones y solicitudes de medidas cautelares radicadas), y tres documentos de recomendaciones entregados formalmente. La Fase 2 (doce meses en 2027) repite el ciclo de observación con boletines periódicos, sostiene el litigio iniciado hasta las decisiones de la Comisión, amplía la red y recupera el fondo de protección material. Su costo marginal es sustancialmente menor porque la inversión metodológica y tecnológica ya está hecha. Esa gestión presupuestal debe iniciarse durante la discusión de la ordenanza de presupuesto para 2027, no cuando la fase esté terminando. En paralelo, la adhesión a redes internacionales del numeral 24 abre financiación de cooperación para que la continuidad del litigio no dependa exclusivamente del presupuesto departamental.</w:t>
      </w:r>
    </w:p>
    <w:bookmarkEnd w:id="52"/>
    <w:bookmarkStart w:id="53" w:name="verificaciones-previas-a-la-radicación"/>
    <w:p>
      <w:pPr>
        <w:pStyle w:val="Heading2"/>
      </w:pPr>
      <w:r>
        <w:t xml:space="preserve">28. Verificaciones previas a la radicación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N.º</w:t>
            </w:r>
          </w:p>
        </w:tc>
        <w:tc>
          <w:tcPr/>
          <w:p>
            <w:pPr>
              <w:pStyle w:val="Compact"/>
              <w:jc w:val="left"/>
            </w:pPr>
            <w:r>
              <w:t xml:space="preserve">Verificación</w:t>
            </w:r>
          </w:p>
        </w:tc>
        <w:tc>
          <w:tcPr/>
          <w:p>
            <w:pPr>
              <w:pStyle w:val="Compact"/>
              <w:jc w:val="left"/>
            </w:pPr>
            <w:r>
              <w:t xml:space="preserve">Criticidad</w:t>
            </w:r>
          </w:p>
        </w:tc>
      </w:tr>
      <w:tr>
        <w:tc>
          <w:tcPr/>
          <w:p>
            <w:pPr>
              <w:pStyle w:val="Compact"/>
              <w:jc w:val="left"/>
            </w:pPr>
            <w:r>
              <w:t xml:space="preserve">1</w:t>
            </w:r>
          </w:p>
        </w:tc>
        <w:tc>
          <w:tcPr/>
          <w:p>
            <w:pPr>
              <w:pStyle w:val="Compact"/>
              <w:jc w:val="left"/>
            </w:pPr>
            <w:r>
              <w:t xml:space="preserve">Acreditar en dinero los $85.714.286 del aporte de la Corporación al momento de radicar (extractos, certificación de revisor fiscal o convenios de cooperación suscritos); si el aporte varía, aplicar la regla de ajuste proporcional del numeral 20</w:t>
            </w:r>
          </w:p>
        </w:tc>
        <w:tc>
          <w:tcPr/>
          <w:p>
            <w:pPr>
              <w:pStyle w:val="Compact"/>
              <w:jc w:val="left"/>
            </w:pPr>
            <w:r>
              <w:t xml:space="preserve">Viabilidad</w:t>
            </w:r>
          </w:p>
        </w:tc>
      </w:tr>
      <w:tr>
        <w:tc>
          <w:tcPr/>
          <w:p>
            <w:pPr>
              <w:pStyle w:val="Compact"/>
              <w:jc w:val="left"/>
            </w:pPr>
            <w:r>
              <w:t xml:space="preserve">2</w:t>
            </w:r>
          </w:p>
        </w:tc>
        <w:tc>
          <w:tcPr/>
          <w:p>
            <w:pPr>
              <w:pStyle w:val="Compact"/>
              <w:jc w:val="left"/>
            </w:pPr>
            <w:r>
              <w:t xml:space="preserve">Confirmar con Planeación el estado de avance de las metas 749 a 764 a 2026 y la dependencia responsable, para precisar cuánto puede reportar el proyecto</w:t>
            </w:r>
          </w:p>
        </w:tc>
        <w:tc>
          <w:tcPr/>
          <w:p>
            <w:pPr>
              <w:pStyle w:val="Compact"/>
              <w:jc w:val="left"/>
            </w:pPr>
            <w:r>
              <w:t xml:space="preserve">Viabilidad</w:t>
            </w:r>
          </w:p>
        </w:tc>
      </w:tr>
      <w:tr>
        <w:tc>
          <w:tcPr/>
          <w:p>
            <w:pPr>
              <w:pStyle w:val="Compact"/>
              <w:jc w:val="left"/>
            </w:pPr>
            <w:r>
              <w:t xml:space="preserve">3</w:t>
            </w:r>
          </w:p>
        </w:tc>
        <w:tc>
          <w:tcPr/>
          <w:p>
            <w:pPr>
              <w:pStyle w:val="Compact"/>
              <w:jc w:val="left"/>
            </w:pPr>
            <w:r>
              <w:t xml:space="preserve">Establecer si existe proyecto viabilizado en el banco de proyectos al cual asociar el contrato, o el tiempo de registro en MGA Web</w:t>
            </w:r>
          </w:p>
        </w:tc>
        <w:tc>
          <w:tcPr/>
          <w:p>
            <w:pPr>
              <w:pStyle w:val="Compact"/>
              <w:jc w:val="left"/>
            </w:pPr>
            <w:r>
              <w:t xml:space="preserve">Viabilidad</w:t>
            </w:r>
          </w:p>
        </w:tc>
      </w:tr>
      <w:tr>
        <w:tc>
          <w:tcPr/>
          <w:p>
            <w:pPr>
              <w:pStyle w:val="Compact"/>
              <w:jc w:val="left"/>
            </w:pPr>
            <w:r>
              <w:t xml:space="preserve">4</w:t>
            </w:r>
          </w:p>
        </w:tc>
        <w:tc>
          <w:tcPr/>
          <w:p>
            <w:pPr>
              <w:pStyle w:val="Compact"/>
              <w:jc w:val="left"/>
            </w:pPr>
            <w:r>
              <w:t xml:space="preserve">Confirmar rubro, fuente y expedición del CDP por $200.000.000 dentro de la vigencia 2026</w:t>
            </w:r>
          </w:p>
        </w:tc>
        <w:tc>
          <w:tcPr/>
          <w:p>
            <w:pPr>
              <w:pStyle w:val="Compact"/>
              <w:jc w:val="left"/>
            </w:pPr>
            <w:r>
              <w:t xml:space="preserve">Viabilidad</w:t>
            </w:r>
          </w:p>
        </w:tc>
      </w:tr>
      <w:tr>
        <w:tc>
          <w:tcPr/>
          <w:p>
            <w:pPr>
              <w:pStyle w:val="Compact"/>
              <w:jc w:val="left"/>
            </w:pPr>
            <w:r>
              <w:t xml:space="preserve">5</w:t>
            </w:r>
          </w:p>
        </w:tc>
        <w:tc>
          <w:tcPr/>
          <w:p>
            <w:pPr>
              <w:pStyle w:val="Compact"/>
              <w:jc w:val="left"/>
            </w:pPr>
            <w:r>
              <w:t xml:space="preserve">Elevar consulta escrita a la ANCP - Colombia Compra Eficiente sobre la admisibilidad de la estructura de subcontratación del numeral 14, financiada con recursos públicos, y anexar la respuesta a los estudios previos</w:t>
            </w:r>
          </w:p>
        </w:tc>
        <w:tc>
          <w:tcPr/>
          <w:p>
            <w:pPr>
              <w:pStyle w:val="Compact"/>
              <w:jc w:val="left"/>
            </w:pPr>
            <w:r>
              <w:t xml:space="preserve">Alta</w:t>
            </w:r>
          </w:p>
        </w:tc>
      </w:tr>
      <w:tr>
        <w:tc>
          <w:tcPr/>
          <w:p>
            <w:pPr>
              <w:pStyle w:val="Compact"/>
              <w:jc w:val="left"/>
            </w:pPr>
            <w:r>
              <w:t xml:space="preserve">6</w:t>
            </w:r>
          </w:p>
        </w:tc>
        <w:tc>
          <w:tcPr/>
          <w:p>
            <w:pPr>
              <w:pStyle w:val="Compact"/>
              <w:jc w:val="left"/>
            </w:pPr>
            <w:r>
              <w:t xml:space="preserve">Validar los códigos de producto e indicador contra la versión vigente del Catálogo de Productos MGA</w:t>
            </w:r>
          </w:p>
        </w:tc>
        <w:tc>
          <w:tcPr/>
          <w:p>
            <w:pPr>
              <w:pStyle w:val="Compact"/>
              <w:jc w:val="left"/>
            </w:pPr>
            <w:r>
              <w:t xml:space="preserve">Alta</w:t>
            </w:r>
          </w:p>
        </w:tc>
      </w:tr>
      <w:tr>
        <w:tc>
          <w:tcPr/>
          <w:p>
            <w:pPr>
              <w:pStyle w:val="Compact"/>
              <w:jc w:val="left"/>
            </w:pPr>
            <w:r>
              <w:t xml:space="preserve">7</w:t>
            </w:r>
          </w:p>
        </w:tc>
        <w:tc>
          <w:tcPr/>
          <w:p>
            <w:pPr>
              <w:pStyle w:val="Compact"/>
              <w:jc w:val="left"/>
            </w:pPr>
            <w:r>
              <w:t xml:space="preserve">Verificar en la Ordenanza 018 de 2025 el porcentaje exacto de estampillas</w:t>
            </w:r>
          </w:p>
        </w:tc>
        <w:tc>
          <w:tcPr/>
          <w:p>
            <w:pPr>
              <w:pStyle w:val="Compact"/>
              <w:jc w:val="left"/>
            </w:pPr>
            <w:r>
              <w:t xml:space="preserve">Alta</w:t>
            </w:r>
          </w:p>
        </w:tc>
      </w:tr>
      <w:tr>
        <w:tc>
          <w:tcPr/>
          <w:p>
            <w:pPr>
              <w:pStyle w:val="Compact"/>
              <w:jc w:val="left"/>
            </w:pPr>
            <w:r>
              <w:t xml:space="preserve">8</w:t>
            </w:r>
          </w:p>
        </w:tc>
        <w:tc>
          <w:tcPr/>
          <w:p>
            <w:pPr>
              <w:pStyle w:val="Compact"/>
              <w:jc w:val="left"/>
            </w:pPr>
            <w:r>
              <w:t xml:space="preserve">Homologar honorarios con la resolución vigente de la Gobernación y con SECOP II</w:t>
            </w:r>
          </w:p>
        </w:tc>
        <w:tc>
          <w:tcPr/>
          <w:p>
            <w:pPr>
              <w:pStyle w:val="Compact"/>
              <w:jc w:val="left"/>
            </w:pPr>
            <w:r>
              <w:t xml:space="preserve">Alta</w:t>
            </w:r>
          </w:p>
        </w:tc>
      </w:tr>
      <w:tr>
        <w:tc>
          <w:tcPr/>
          <w:p>
            <w:pPr>
              <w:pStyle w:val="Compact"/>
              <w:jc w:val="left"/>
            </w:pPr>
            <w:r>
              <w:t xml:space="preserve">9</w:t>
            </w:r>
          </w:p>
        </w:tc>
        <w:tc>
          <w:tcPr/>
          <w:p>
            <w:pPr>
              <w:pStyle w:val="Compact"/>
              <w:jc w:val="left"/>
            </w:pPr>
            <w:r>
              <w:t xml:space="preserve">Preseleccionar el equipo completo antes del acta de inicio</w:t>
            </w:r>
          </w:p>
        </w:tc>
        <w:tc>
          <w:tcPr/>
          <w:p>
            <w:pPr>
              <w:pStyle w:val="Compact"/>
              <w:jc w:val="left"/>
            </w:pPr>
            <w:r>
              <w:t xml:space="preserve">Alta</w:t>
            </w:r>
          </w:p>
        </w:tc>
      </w:tr>
      <w:tr>
        <w:tc>
          <w:tcPr/>
          <w:p>
            <w:pPr>
              <w:pStyle w:val="Compact"/>
              <w:jc w:val="left"/>
            </w:pPr>
            <w:r>
              <w:t xml:space="preserve">10</w:t>
            </w:r>
          </w:p>
        </w:tc>
        <w:tc>
          <w:tcPr/>
          <w:p>
            <w:pPr>
              <w:pStyle w:val="Compact"/>
              <w:jc w:val="left"/>
            </w:pPr>
            <w:r>
              <w:t xml:space="preserve">Negociar e incorporar al contrato la cláusula de autonomía técnica y editorial y la de no entrega de datos crudos</w:t>
            </w:r>
          </w:p>
        </w:tc>
        <w:tc>
          <w:tcPr/>
          <w:p>
            <w:pPr>
              <w:pStyle w:val="Compact"/>
              <w:jc w:val="left"/>
            </w:pPr>
            <w:r>
              <w:t xml:space="preserve">Alta</w:t>
            </w:r>
          </w:p>
        </w:tc>
      </w:tr>
      <w:tr>
        <w:tc>
          <w:tcPr/>
          <w:p>
            <w:pPr>
              <w:pStyle w:val="Compact"/>
              <w:jc w:val="left"/>
            </w:pPr>
            <w:r>
              <w:t xml:space="preserve">11</w:t>
            </w:r>
          </w:p>
        </w:tc>
        <w:tc>
          <w:tcPr/>
          <w:p>
            <w:pPr>
              <w:pStyle w:val="Compact"/>
              <w:jc w:val="left"/>
            </w:pPr>
            <w:r>
              <w:t xml:space="preserve">Elaborar y revisar jurídicamente las cerca de noventa peticiones y solicitudes de información antes del acta de inicio, para radicar el primer bloque el primer día</w:t>
            </w:r>
          </w:p>
        </w:tc>
        <w:tc>
          <w:tcPr/>
          <w:p>
            <w:pPr>
              <w:pStyle w:val="Compact"/>
              <w:jc w:val="left"/>
            </w:pPr>
            <w:r>
              <w:t xml:space="preserve">Alta</w:t>
            </w:r>
          </w:p>
        </w:tc>
      </w:tr>
      <w:tr>
        <w:tc>
          <w:tcPr/>
          <w:p>
            <w:pPr>
              <w:pStyle w:val="Compact"/>
              <w:jc w:val="left"/>
            </w:pPr>
            <w:r>
              <w:t xml:space="preserve">12</w:t>
            </w:r>
          </w:p>
        </w:tc>
        <w:tc>
          <w:tcPr/>
          <w:p>
            <w:pPr>
              <w:pStyle w:val="Compact"/>
              <w:jc w:val="left"/>
            </w:pPr>
            <w:r>
              <w:t xml:space="preserve">Preparar el proceso de selección del subcontratista antes del acta de inicio (invitación, criterios de evaluación y cronograma conforme al manual de contratación de la Corporación) y preverificar la independencia de las firmas a invitar, de modo que el proceso se abra en la semana 1 y se adjudique a más tardar en la semana 3</w:t>
            </w:r>
          </w:p>
        </w:tc>
        <w:tc>
          <w:tcPr/>
          <w:p>
            <w:pPr>
              <w:pStyle w:val="Compact"/>
              <w:jc w:val="left"/>
            </w:pPr>
            <w:r>
              <w:t xml:space="preserve">Alta</w:t>
            </w:r>
          </w:p>
        </w:tc>
      </w:tr>
      <w:tr>
        <w:tc>
          <w:tcPr/>
          <w:p>
            <w:pPr>
              <w:pStyle w:val="Compact"/>
              <w:jc w:val="left"/>
            </w:pPr>
            <w:r>
              <w:t xml:space="preserve">13</w:t>
            </w:r>
          </w:p>
        </w:tc>
        <w:tc>
          <w:tcPr/>
          <w:p>
            <w:pPr>
              <w:pStyle w:val="Compact"/>
              <w:jc w:val="left"/>
            </w:pPr>
            <w:r>
              <w:t xml:space="preserve">Verificar la razón social definitiva de la entidad ejecutora, su registro en SECOP, la acreditación de su reconocida idoneidad y la ausencia de inhabilidades de sus directivos</w:t>
            </w:r>
          </w:p>
        </w:tc>
        <w:tc>
          <w:tcPr/>
          <w:p>
            <w:pPr>
              <w:pStyle w:val="Compact"/>
              <w:jc w:val="left"/>
            </w:pPr>
            <w:r>
              <w:t xml:space="preserve">Alta</w:t>
            </w:r>
          </w:p>
        </w:tc>
      </w:tr>
      <w:tr>
        <w:tc>
          <w:tcPr/>
          <w:p>
            <w:pPr>
              <w:pStyle w:val="Compact"/>
              <w:jc w:val="left"/>
            </w:pPr>
            <w:r>
              <w:t xml:space="preserve">14</w:t>
            </w:r>
          </w:p>
        </w:tc>
        <w:tc>
          <w:tcPr/>
          <w:p>
            <w:pPr>
              <w:pStyle w:val="Compact"/>
              <w:jc w:val="left"/>
            </w:pPr>
            <w:r>
              <w:t xml:space="preserve">Confirmar la calificación de la Corporación en el Régimen Tributario Especial y la tarifa de ReteICA de Cúcuta</w:t>
            </w:r>
          </w:p>
        </w:tc>
        <w:tc>
          <w:tcPr/>
          <w:p>
            <w:pPr>
              <w:pStyle w:val="Compact"/>
              <w:jc w:val="left"/>
            </w:pPr>
            <w:r>
              <w:t xml:space="preserve">Media</w:t>
            </w:r>
          </w:p>
        </w:tc>
      </w:tr>
      <w:tr>
        <w:tc>
          <w:tcPr/>
          <w:p>
            <w:pPr>
              <w:pStyle w:val="Compact"/>
              <w:jc w:val="left"/>
            </w:pPr>
            <w:r>
              <w:t xml:space="preserve">15</w:t>
            </w:r>
          </w:p>
        </w:tc>
        <w:tc>
          <w:tcPr/>
          <w:p>
            <w:pPr>
              <w:pStyle w:val="Compact"/>
              <w:jc w:val="left"/>
            </w:pPr>
            <w:r>
              <w:t xml:space="preserve">Verificar con las plataformas de derechos humanos y el Ministerio del Interior el estado real de la Mesa Territorial de Garantías del departamento, para la articulación de la red (numeral 15)</w:t>
            </w:r>
          </w:p>
        </w:tc>
        <w:tc>
          <w:tcPr/>
          <w:p>
            <w:pPr>
              <w:pStyle w:val="Compact"/>
              <w:jc w:val="left"/>
            </w:pPr>
            <w:r>
              <w:t xml:space="preserve">Media</w:t>
            </w:r>
          </w:p>
        </w:tc>
      </w:tr>
    </w:tbl>
    <w:bookmarkEnd w:id="53"/>
    <w:bookmarkStart w:id="54" w:name="cierre"/>
    <w:p>
      <w:pPr>
        <w:pStyle w:val="Heading2"/>
      </w:pPr>
      <w:r>
        <w:t xml:space="preserve">Cierre</w:t>
      </w:r>
    </w:p>
    <w:p>
      <w:pPr>
        <w:pStyle w:val="FirstParagraph"/>
      </w:pPr>
      <w:r>
        <w:t xml:space="preserve">El proyecto que resulta de esta integración concentra el aporte público donde está su valor: el litigio estratégico. La Gobernación financia la totalidad del componente jurídico, incluida la firma especializada que llevará los casos emblemáticos ante la Comisión Interamericana de Derechos Humanos, y la Corporación, con su aporte en dinero del 30 % del valor total, financia y ejecuta el sistema de información y la investigación del informe, facilita la ejecución y asume los imprevistos. El observatorio produce la evidencia que ninguna entidad puede producir sobre sí misma; los boletines semanales la mantienen viva durante la ejecución; y la red departamental de defensores garantiza que, al terminar la fase, quede instalada una capacidad colectiva de documentación, alerta y exigencia que no depende de un inmueble ni de un solo actor. El componente jurídico asegura que la documentación no se agote en el diagnóstico: cada caso documentado se traduce en una actuación ante la autoridad competente y, en los casos emblemáticos, ante el Sistema Interamericano.</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2026-09-01T16:39:33Z</dcterms:created>
  <dcterms:modified xsi:type="dcterms:W3CDTF">2026-09-01T16:39:33Z</dcterms:modified>
</cp:coreProperties>
</file>

<file path=docProps/custom.xml><?xml version="1.0" encoding="utf-8"?>
<Properties xmlns="http://schemas.openxmlformats.org/officeDocument/2006/custom-properties" xmlns:vt="http://schemas.openxmlformats.org/officeDocument/2006/docPropsVTypes"/>
</file>