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0B1B2B"/>
          <w:sz w:val="64"/>
          <w:szCs w:val="64"/>
        </w:rPr>
        <w:t xml:space="preserve">AITHERA V1</w:t>
      </w:r>
    </w:p>
    <w:p>
      <w:pPr>
        <w:spacing w:after="200"/>
        <w:jc w:val="center"/>
      </w:pPr>
      <w:r>
        <w:rPr>
          <w:b/>
          <w:bCs/>
          <w:color w:val="0E7C8C"/>
          <w:sz w:val="30"/>
          <w:szCs w:val="30"/>
        </w:rPr>
        <w:t xml:space="preserve">Auditoría, Rearquitectura y Roadmap de Implementación</w:t>
      </w:r>
    </w:p>
    <w:p>
      <w:pPr>
        <w:spacing w:after="800"/>
        <w:jc w:val="center"/>
      </w:pPr>
      <w:r>
        <w:rPr>
          <w:i/>
          <w:iCs/>
          <w:color w:val="595959"/>
          <w:sz w:val="22"/>
          <w:szCs w:val="22"/>
        </w:rPr>
        <w:t xml:space="preserve">De prototipo funcional a Sistema Operativo Personal de IA</w:t>
      </w:r>
    </w:p>
    <w:p>
      <w:pPr>
        <w:jc w:val="center"/>
      </w:pPr>
      <w:r>
        <w:rPr>
          <w:color w:val="595959"/>
          <w:sz w:val="20"/>
          <w:szCs w:val="20"/>
        </w:rPr>
        <w:t xml:space="preserve">Informe técnico — CTO / Arquitectura de Software / UX-UI / AI Systems</w:t>
      </w:r>
    </w:p>
    <w:p>
      <w:pPr>
        <w:spacing w:after="1600"/>
        <w:jc w:val="center"/>
      </w:pPr>
      <w:r>
        <w:rPr>
          <w:color w:val="595959"/>
          <w:sz w:val="20"/>
          <w:szCs w:val="20"/>
        </w:rPr>
        <w:t xml:space="preserve">21 de junio de 2026 · Sin cambios de código aplicados</w:t>
      </w:r>
    </w:p>
    <w:p>
      <w:r>
        <w:br w:type="page"/>
      </w:r>
    </w:p>
    <w:p>
      <w:pPr>
        <w:pStyle w:val="Heading1"/>
      </w:pPr>
      <w:r>
        <w:t xml:space="preserve">Tabla de Contenidos</w:t>
      </w:r>
    </w:p>
    <w:sdt>
      <w:sdtPr>
        <w:alias w:val="Tabla de Contenido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Resumen Ejecutivo</w:t>
      </w:r>
    </w:p>
    <w:p>
      <w:pPr>
        <w:spacing w:after="160"/>
      </w:pPr>
      <w:r>
        <w:t xml:space="preserve">Aithera existe hoy como dos proyectos paralelos que no terminaron de converger: un backend FastAPI funcional con una aplicación de escritorio en CustomTkinter ya operativa, y un segundo frontend en React + Vite + Electron que fue iniciado (dependencias instaladas) pero nunca llegó a escribirse: no existe ni un solo archivo de código fuente, ni package.json, ni punto de entrada. Esto no es una opinión de diseño — es un hecho verificado directamente sobre el repositorio.</w:t>
      </w:r>
    </w:p>
    <w:p>
      <w:pPr>
        <w:spacing w:after="160"/>
      </w:pPr>
      <w:r>
        <w:t xml:space="preserve">El backend (FastAPI + SQLite + SQLAlchemy) está razonablemente bien encaminado para una v0.1: tiene endpoints, manejo de excepciones global y logging con rotación. Pero presenta deuda técnica real: dos patrones de acceso a base de datos coexistiendo en el mismo código, validación de entrada inexistente en varios endpoints (se aceptan dict crudos en lugar de esquemas Pydantic), errores devueltos con HTTP 200, CORS abierto a *, y una IA que no mantiene historial de conversación entre turnos (cada mensaje se envía aislado al proveedor).</w:t>
      </w:r>
    </w:p>
    <w:p>
      <w:pPr>
        <w:spacing w:after="160"/>
      </w:pPr>
      <w:r>
        <w:t xml:space="preserve">El sistema de IA solo soporta 3 proveedores (Ollama, OpenAI, Anthropic) de los 7 solicitados, sin persistencia de configuración (las API keys solo viven en variables de entorno), sin streaming de respuestas y sin gestión desde UI. El Email Assistant es, sorprendentemente, el módulo más maduro y completo del proyecto — pero la negociación automática de reuniones (núcleo de la Fase 3 solicitada) no existe en ninguna forma: solo hay una detección básica de solapamiento de eventos, sin bucle de negociación, sin reglas de disponibilidad por día/tipo, sin reintento.</w:t>
      </w:r>
    </w:p>
    <w:p>
      <w:pPr>
        <w:spacing w:after="160"/>
      </w:pPr>
      <w:r>
        <w:t xml:space="preserve">La estética 'Jarvis / Iron Man HUD' que se pide en la Fase 4 es, sencillamente, inalcanzable sobre CustomTkinter. Es un toolkit de escritorio clásico sin GPU, sin shaders, sin animaciones fluidas reales, sin capas ni composición. Cualquier intento de lograr ese aspecto sobre Tkinter terminará en animaciones entrecortadas y limitaciones constantes. La decisión más importante de todo este informe — y la que condiciona el resto del roadmap — es si Aithera migra su capa de presentación a una stack web moderna (reanudando el frontend Electron+React ya empezado) o se queda en escritorio nativo con expectativas visuales reducidas.</w:t>
      </w:r>
    </w:p>
    <w:p>
      <w:pPr>
        <w:spacing w:after="160"/>
      </w:pPr>
      <w:r>
        <w:t xml:space="preserve">Este documento entrega la auditoría completa solicitada, los riesgos detectados, y un plan de rearquitectura en 8 fases con priorización (P0–P3) y estimación de complejidad. No se ha modificado ningún archivo del proyecto.</w:t>
      </w:r>
    </w:p>
    <w:p>
      <w:pPr>
        <w:pStyle w:val="Heading1"/>
      </w:pPr>
      <w:r>
        <w:t xml:space="preserve">2. Arquitectura Actual — Lo que realmente existe</w:t>
      </w:r>
    </w:p>
    <w:p>
      <w:pPr>
        <w:spacing w:after="160"/>
      </w:pPr>
      <w:r>
        <w:t xml:space="preserve">A continuación se documenta el estado real verificado en C:\Users\Alejandro\Desktop\Aithera, no el estado descrito en la documentación interna (que en varios puntos está desactualizada respecto al código).</w:t>
      </w:r>
    </w:p>
    <w:p>
      <w:pPr>
        <w:pStyle w:val="Heading2"/>
      </w:pPr>
      <w:r>
        <w:t xml:space="preserve">2.1 Mapa de componentes</w:t>
      </w:r>
    </w:p>
    <w:p>
      <w:pPr>
        <w:pStyle w:val="ListParagraph"/>
        <w:numPr>
          <w:ilvl w:val="0"/>
          <w:numId w:val="2"/>
        </w:numPr>
        <w:spacing w:after="80"/>
      </w:pPr>
      <w:r>
        <w:t xml:space="preserve">backend/ — API FastAPI + SQLite + lógica de IA + Email Assistant. Es el componente más completo.</w:t>
      </w:r>
    </w:p>
    <w:p>
      <w:pPr>
        <w:pStyle w:val="ListParagraph"/>
        <w:numPr>
          <w:ilvl w:val="0"/>
          <w:numId w:val="2"/>
        </w:numPr>
        <w:spacing w:after="80"/>
      </w:pPr>
      <w:r>
        <w:t xml:space="preserve">backend/app/desktop.py (715 líneas) — Aplicación de escritorio CustomTkinter, totalmente funcional, consume el backend vía HTTP.</w:t>
      </w:r>
    </w:p>
    <w:p>
      <w:pPr>
        <w:pStyle w:val="ListParagraph"/>
        <w:numPr>
          <w:ilvl w:val="0"/>
          <w:numId w:val="2"/>
        </w:numPr>
        <w:spacing w:after="80"/>
      </w:pPr>
      <w:r>
        <w:t xml:space="preserve">backend/app/email_ui.py (509 líneas) — Sección de Email Assistant dentro de la app de escritorio.</w:t>
      </w:r>
    </w:p>
    <w:p>
      <w:pPr>
        <w:pStyle w:val="ListParagraph"/>
        <w:numPr>
          <w:ilvl w:val="0"/>
          <w:numId w:val="2"/>
        </w:numPr>
        <w:spacing w:after="80"/>
      </w:pPr>
      <w:r>
        <w:t xml:space="preserve">backend/modules/email_assistant/ — Módulo más sofisticado del proyecto: OAuth, Gmail, Calendar, motor de inteligencia, motor de conversación, memoria persistente.</w:t>
      </w:r>
    </w:p>
    <w:p>
      <w:pPr>
        <w:pStyle w:val="ListParagraph"/>
        <w:numPr>
          <w:ilvl w:val="0"/>
          <w:numId w:val="2"/>
        </w:numPr>
        <w:spacing w:after="80"/>
      </w:pPr>
      <w:r>
        <w:t xml:space="preserve">frontend/ — Proyecto React 18 + Vite 5 + TypeScript + Zustand + React Router + Electron. Contiene node_modules y package-lock.json, pero ningún archivo fuente: src/components, src/pages, src/hooks, src/services, src/stores, src/types están vacíos; no hay package.json, vite.config, tsconfig ni index.html. No hay control de versiones (no existe carpeta .git en el repo).</w:t>
      </w:r>
    </w:p>
    <w:p>
      <w:pPr>
        <w:pStyle w:val="ListParagraph"/>
        <w:numPr>
          <w:ilvl w:val="0"/>
          <w:numId w:val="2"/>
        </w:numPr>
        <w:spacing w:after="80"/>
      </w:pPr>
      <w:r>
        <w:t xml:space="preserve">.trae/skills/aithera-context — Una skill de agente que documenta cómo otro asistente debía revisar el contexto antes de trabajar; confirma que el proyecto ha sido tocado por más de un asistente de IA sin un proceso de integración consistente.</w:t>
      </w:r>
    </w:p>
    <w:p>
      <w:pPr>
        <w:pBdr>
          <w:left w:val="single" w:color="B00020" w:sz="12" w:space="8"/>
        </w:pBdr>
        <w:spacing w:after="200"/>
      </w:pPr>
      <w:r>
        <w:rPr>
          <w:i/>
          <w:iCs/>
          <w:color w:val="404040"/>
        </w:rPr>
        <w:t xml:space="preserve">Implicación directa: hoy Aithera NO tiene una interfaz web ni de escritorio moderna funcionando con React. La única UI funcional es CustomTkinter. El 'frontend' visible en la carpeta es, en la práctica, una carpeta vacía con dependencias descargadas.</w:t>
      </w:r>
    </w:p>
    <w:p>
      <w:pPr>
        <w:pStyle w:val="Heading2"/>
      </w:pPr>
      <w:r>
        <w:t xml:space="preserve">2.2 Backend — FastAPI</w:t>
      </w:r>
    </w:p>
    <w:p>
      <w:pPr>
        <w:spacing w:after="160"/>
      </w:pPr>
      <w:r>
        <w:t xml:space="preserve">Stack: FastAPI + Uvicorn + SQLAlchemy (declarative, sin Alembic/migraciones) + SQLite + Pydantic + httpx para llamadas a proveedores de IA.</w:t>
      </w:r>
    </w:p>
    <w:p>
      <w:pPr>
        <w:pStyle w:val="ListParagraph"/>
        <w:numPr>
          <w:ilvl w:val="0"/>
          <w:numId w:val="2"/>
        </w:numPr>
        <w:spacing w:after="80"/>
      </w:pPr>
      <w:r>
        <w:t xml:space="preserve">main.py: lifespan correcto para crear tablas al arrancar, CORS abierto a *, exception handler global que devuelve str(exc) al cliente (fuga de información en producción).</w:t>
      </w:r>
    </w:p>
    <w:p>
      <w:pPr>
        <w:pStyle w:val="ListParagraph"/>
        <w:numPr>
          <w:ilvl w:val="0"/>
          <w:numId w:val="2"/>
        </w:numPr>
        <w:spacing w:after="80"/>
      </w:pPr>
      <w:r>
        <w:t xml:space="preserve">8 routers montados bajo /api: config, projects, tasks, calendar, ai, chat, agents, email-assistant.</w:t>
      </w:r>
    </w:p>
    <w:p>
      <w:pPr>
        <w:pStyle w:val="ListParagraph"/>
        <w:numPr>
          <w:ilvl w:val="0"/>
          <w:numId w:val="2"/>
        </w:numPr>
        <w:spacing w:after="80"/>
      </w:pPr>
      <w:r>
        <w:t xml:space="preserve">No existe requirements.txt en la raíz del backend — solo existe uno para el submódulo email_assistant. El entorno depende enteramente del venv ya instalado; no es reproducible por otra persona ni por una reinstalación limpia.</w:t>
      </w:r>
    </w:p>
    <w:p>
      <w:pPr>
        <w:pStyle w:val="ListParagraph"/>
        <w:numPr>
          <w:ilvl w:val="0"/>
          <w:numId w:val="2"/>
        </w:numPr>
        <w:spacing w:after="80"/>
      </w:pPr>
      <w:r>
        <w:t xml:space="preserve">No hay archivo .env ni .env.example — las claves de IA dependen de variables de entorno del sistema, sin documentar dónde se definen.</w:t>
      </w:r>
    </w:p>
    <w:p>
      <w:pPr>
        <w:pStyle w:val="ListParagraph"/>
        <w:numPr>
          <w:ilvl w:val="0"/>
          <w:numId w:val="2"/>
        </w:numPr>
        <w:spacing w:after="80"/>
      </w:pPr>
      <w:r>
        <w:t xml:space="preserve">No hay tests (ni pytest, ni ningún framework). No hay CI.</w:t>
      </w:r>
    </w:p>
    <w:p>
      <w:pPr>
        <w:pStyle w:val="ListParagraph"/>
        <w:numPr>
          <w:ilvl w:val="0"/>
          <w:numId w:val="2"/>
        </w:numPr>
        <w:spacing w:after="80"/>
      </w:pPr>
      <w:r>
        <w:t xml:space="preserve">Hay dos bases de datos potencialmente activas: backend/aithera.db (en el repo) y %APPDATA%/Aithera/aithera.db (la que realmente usa database.py). Esto es una fuente de confusión real sobre qué datos está leyendo la app en cada momento.</w:t>
      </w:r>
    </w:p>
    <w:p>
      <w:pPr>
        <w:pStyle w:val="Heading2"/>
      </w:pPr>
      <w:r>
        <w:t xml:space="preserve">2.3 Aplicación de escritorio — CustomTkinter</w:t>
      </w:r>
    </w:p>
    <w:p>
      <w:pPr>
        <w:spacing w:after="160"/>
      </w:pPr>
      <w:r>
        <w:t xml:space="preserve">Es la única interfaz de usuario operativa hoy. 715 líneas en un único archivo desktop.py, más 509 en email_ui.py.</w:t>
      </w:r>
    </w:p>
    <w:p>
      <w:pPr>
        <w:pStyle w:val="ListParagraph"/>
        <w:numPr>
          <w:ilvl w:val="0"/>
          <w:numId w:val="2"/>
        </w:numPr>
        <w:spacing w:after="80"/>
      </w:pPr>
      <w:r>
        <w:t xml:space="preserve">Cada acción de UI (cargar proyectos, enviar chat, escuchar voz) lanza un threading.Thread manual ad-hoc, sin pool, sin cancelación y sin protección contra doble disparo si el usuario hace clic dos veces seguidas.</w:t>
      </w:r>
    </w:p>
    <w:p>
      <w:pPr>
        <w:pStyle w:val="ListParagraph"/>
        <w:numPr>
          <w:ilvl w:val="0"/>
          <w:numId w:val="2"/>
        </w:numPr>
        <w:spacing w:after="80"/>
      </w:pPr>
      <w:r>
        <w:t xml:space="preserve">Todas las llamadas al backend son HTTP síncronas (requests.get/post) ejecutadas dentro de esos hilos — funcional, pero frágil y sin reintentos ni backoff.</w:t>
      </w:r>
    </w:p>
    <w:p>
      <w:pPr>
        <w:pStyle w:val="ListParagraph"/>
        <w:numPr>
          <w:ilvl w:val="0"/>
          <w:numId w:val="2"/>
        </w:numPr>
        <w:spacing w:after="80"/>
      </w:pPr>
      <w:r>
        <w:t xml:space="preserve">La estética está definida por un tema oscuro con acento cian (#00d4ff) — visualmente más cercana a un panel de admin que a un HUD holográfico.</w:t>
      </w:r>
    </w:p>
    <w:p>
      <w:pPr>
        <w:pStyle w:val="ListParagraph"/>
        <w:numPr>
          <w:ilvl w:val="0"/>
          <w:numId w:val="2"/>
        </w:numPr>
        <w:spacing w:after="80"/>
      </w:pPr>
      <w:r>
        <w:t xml:space="preserve">Voz: pyttsx3 (TTS) + speech_recognition con motor de Google (STT), con fallback si no hay audio disponible. No hay arquitectura de proveedores de voz: es un único motor hardcodeado.</w:t>
      </w:r>
    </w:p>
    <w:p>
      <w:pPr>
        <w:pStyle w:val="Heading2"/>
      </w:pPr>
      <w:r>
        <w:t xml:space="preserve">2.4 Sistema de IA actual</w:t>
      </w:r>
    </w:p>
    <w:p>
      <w:pPr>
        <w:pStyle w:val="ListParagraph"/>
        <w:numPr>
          <w:ilvl w:val="0"/>
          <w:numId w:val="2"/>
        </w:numPr>
        <w:spacing w:after="80"/>
      </w:pPr>
      <w:r>
        <w:t xml:space="preserve">AIManager es un singleton global instanciado al importar el módulo (anti-patrón para testing, pero funcional en este contexto de app de escritorio de un solo proceso).</w:t>
      </w:r>
    </w:p>
    <w:p>
      <w:pPr>
        <w:pStyle w:val="ListParagraph"/>
        <w:numPr>
          <w:ilvl w:val="0"/>
          <w:numId w:val="2"/>
        </w:numPr>
        <w:spacing w:after="80"/>
      </w:pPr>
      <w:r>
        <w:t xml:space="preserve">Solo 3 proveedores implementados: Ollama, OpenAI, Anthropic — vía llamadas HTTP directas con httpx, no SDKs oficiales.</w:t>
      </w:r>
    </w:p>
    <w:p>
      <w:pPr>
        <w:pStyle w:val="ListParagraph"/>
        <w:numPr>
          <w:ilvl w:val="0"/>
          <w:numId w:val="2"/>
        </w:numPr>
        <w:spacing w:after="80"/>
      </w:pPr>
      <w:r>
        <w:t xml:space="preserve">No hay streaming: cada respuesta se espera completa (timeout fijo de 180s) antes de mostrarse. Esto es la causa principal de la sensación de 'lentitud' en el chat.</w:t>
      </w:r>
    </w:p>
    <w:p>
      <w:pPr>
        <w:pStyle w:val="ListParagraph"/>
        <w:numPr>
          <w:ilvl w:val="0"/>
          <w:numId w:val="2"/>
        </w:numPr>
        <w:spacing w:after="80"/>
      </w:pPr>
      <w:r>
        <w:t xml:space="preserve">No hay historial de conversación enviado al modelo: cada llamada a ai_manager.chat() manda solo el mensaje actual y un system_prompt fijo. El modelo no 've' los turnos anteriores aunque el historial se guarde en SQLite.</w:t>
      </w:r>
    </w:p>
    <w:p>
      <w:pPr>
        <w:pStyle w:val="ListParagraph"/>
        <w:numPr>
          <w:ilvl w:val="0"/>
          <w:numId w:val="2"/>
        </w:numPr>
        <w:spacing w:after="80"/>
      </w:pPr>
      <w:r>
        <w:t xml:space="preserve">No hay gestión de claves vía base de datos ni UI: las API keys solo se leen de variables de entorno al arrancar el proceso; cambiarlas requiere reiniciar el backend.</w:t>
      </w:r>
    </w:p>
    <w:p>
      <w:pPr>
        <w:pStyle w:val="ListParagraph"/>
        <w:numPr>
          <w:ilvl w:val="0"/>
          <w:numId w:val="2"/>
        </w:numPr>
        <w:spacing w:after="80"/>
      </w:pPr>
      <w:r>
        <w:t xml:space="preserve">Faltan: Minimax, Google Gemini, OpenRouter, DeepSeek, Grok — los 5 proveedores adicionales pedidos no tienen ni stub.</w:t>
      </w:r>
    </w:p>
    <w:p>
      <w:pPr>
        <w:pStyle w:val="Heading2"/>
      </w:pPr>
      <w:r>
        <w:t xml:space="preserve">2.5 Agentes</w:t>
      </w:r>
    </w:p>
    <w:p>
      <w:pPr>
        <w:spacing w:after="160"/>
      </w:pPr>
      <w:r>
        <w:t xml:space="preserve">Existe un único agente real: ArchitectAgent, una clase con un system prompt fijo y dos métodos (analyze, review_code). El endpoint /api/agents es un CRUD sobre una tabla Agent (name, system_prompt) que no está conectado al ArchitectAgent: son dos sistemas de 'agente' que no se hablan entre sí. No existen Research, Builder ni Strategist. No existe ningún mecanismo de agentes externos (Minimax, TRAE, Claude Code).</w:t>
      </w:r>
    </w:p>
    <w:p>
      <w:pPr>
        <w:pStyle w:val="Heading2"/>
      </w:pPr>
      <w:r>
        <w:t xml:space="preserve">2.6 Email Assistant — el módulo más maduro</w:t>
      </w:r>
    </w:p>
    <w:p>
      <w:pPr>
        <w:spacing w:after="160"/>
      </w:pPr>
      <w:r>
        <w:t xml:space="preserve">Es, con diferencia, la parte mejor construida del proyecto: auth_manager (OAuth 2.0 Desktop flow con refresco de tokens), gmail_tool (CRUD completo, búsqueda, envío con confirmación obligatoria), calendar_tool (eventos, búsqueda de huecos, detección de solapamientos), email_intelligence (clasificación en 6 categorías, extracción de fechas/acciones, resúmenes con Ollama), conversation_engine (contexto conversacional con referencias como 'el primero'), memory (remitentes frecuentes, preferencias, estilos).</w:t>
      </w:r>
    </w:p>
    <w:p>
      <w:pPr>
        <w:pStyle w:val="ListParagraph"/>
        <w:numPr>
          <w:ilvl w:val="0"/>
          <w:numId w:val="2"/>
        </w:numPr>
        <w:spacing w:after="80"/>
      </w:pPr>
      <w:r>
        <w:t xml:space="preserve">calendar_tool.check_conflicts() detecta solapamientos directos entre fechas, pero no existe ningún motor de negociación: no hay configuración de disponibilidad semanal por tipo de evento, no hay generación automática de alternativas, no hay bucle de espera-respuesta-renegociación. La Fase 3 (negociación automática) parte de cero, no de una base existente.</w:t>
      </w:r>
    </w:p>
    <w:p>
      <w:pPr>
        <w:pStyle w:val="ListParagraph"/>
        <w:numPr>
          <w:ilvl w:val="0"/>
          <w:numId w:val="2"/>
        </w:numPr>
        <w:spacing w:after="80"/>
      </w:pPr>
      <w:r>
        <w:t xml:space="preserve">El acceso al módulo se hace con sys.path.insert manual en email_assistant.py (endpoint) para poder importar backend/modules/ como si fuera un paquete — un parche de import en lugar de una estructura de paquete Python adecuada.</w:t>
      </w:r>
    </w:p>
    <w:p>
      <w:pPr>
        <w:pStyle w:val="Heading1"/>
      </w:pPr>
      <w:r>
        <w:t xml:space="preserve">3. Problemas Detectados</w:t>
      </w:r>
    </w:p>
    <w:p>
      <w:pPr>
        <w:spacing w:after="160"/>
      </w:pPr>
      <w:r>
        <w:t xml:space="preserve">Catalogados por categoría, con severidad e impacto. Crítico = bloquea objetivos del proyecto o representa riesgo real; Alto = degrada significativamente calidad/velocidad; Medio = deuda técnica que conviene resolver durante la rearquitectura.</w:t>
      </w:r>
    </w:p>
    <w:p>
      <w:pPr>
        <w:pStyle w:val="Heading2"/>
      </w:pPr>
      <w:r>
        <w:t xml:space="preserve">3.1 Rendimiento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4060"/>
        <w:gridCol w:w="4000"/>
      </w:tblGrid>
      <w:tr>
        <w:tc>
          <w:tcPr>
            <w:tcW w:type="dxa" w:w="1300"/>
            <w:tcBorders>
              <w:top w:val="single" w:color="CCCCCC" w:sz="1"/>
              <w:left w:val="single" w:color="CCCCCC" w:sz="1"/>
              <w:bottom w:val="single" w:color="CCCCCC" w:sz="1"/>
              <w:right w:val="single" w:color="CCCCCC" w:sz="1"/>
            </w:tcBorders>
            <w:shd w:fill="0B1B2B" w:val="clear"/>
            <w:tcMar>
              <w:top w:type="dxa" w:w="80"/>
              <w:left w:type="dxa" w:w="120"/>
              <w:bottom w:type="dxa" w:w="80"/>
              <w:right w:type="dxa" w:w="120"/>
            </w:tcMar>
            <w:vAlign w:val="center"/>
          </w:tcPr>
          <w:p>
            <w:pPr>
              <w:jc w:val="left"/>
            </w:pPr>
            <w:r>
              <w:rPr>
                <w:b/>
                <w:bCs/>
                <w:color w:val="FFFFFF"/>
              </w:rPr>
              <w:t xml:space="preserve">Severidad</w:t>
            </w:r>
          </w:p>
        </w:tc>
        <w:tc>
          <w:tcPr>
            <w:tcW w:type="dxa" w:w="4060"/>
            <w:tcBorders>
              <w:top w:val="single" w:color="CCCCCC" w:sz="1"/>
              <w:left w:val="single" w:color="CCCCCC" w:sz="1"/>
              <w:bottom w:val="single" w:color="CCCCCC" w:sz="1"/>
              <w:right w:val="single" w:color="CCCCCC" w:sz="1"/>
            </w:tcBorders>
            <w:shd w:fill="0B1B2B" w:val="clear"/>
            <w:tcMar>
              <w:top w:type="dxa" w:w="80"/>
              <w:left w:type="dxa" w:w="120"/>
              <w:bottom w:type="dxa" w:w="80"/>
              <w:right w:type="dxa" w:w="120"/>
            </w:tcMar>
            <w:vAlign w:val="center"/>
          </w:tcPr>
          <w:p>
            <w:pPr>
              <w:jc w:val="left"/>
            </w:pPr>
            <w:r>
              <w:rPr>
                <w:b/>
                <w:bCs/>
                <w:color w:val="FFFFFF"/>
              </w:rPr>
              <w:t xml:space="preserve">Hallazgo</w:t>
            </w:r>
          </w:p>
        </w:tc>
        <w:tc>
          <w:tcPr>
            <w:tcW w:type="dxa" w:w="4000"/>
            <w:tcBorders>
              <w:top w:val="single" w:color="CCCCCC" w:sz="1"/>
              <w:left w:val="single" w:color="CCCCCC" w:sz="1"/>
              <w:bottom w:val="single" w:color="CCCCCC" w:sz="1"/>
              <w:right w:val="single" w:color="CCCCCC" w:sz="1"/>
            </w:tcBorders>
            <w:shd w:fill="0B1B2B" w:val="clear"/>
            <w:tcMar>
              <w:top w:type="dxa" w:w="80"/>
              <w:left w:type="dxa" w:w="120"/>
              <w:bottom w:type="dxa" w:w="80"/>
              <w:right w:type="dxa" w:w="120"/>
            </w:tcMar>
            <w:vAlign w:val="center"/>
          </w:tcPr>
          <w:p>
            <w:pPr>
              <w:jc w:val="left"/>
            </w:pPr>
            <w:r>
              <w:rPr>
                <w:b/>
                <w:bCs/>
                <w:color w:val="FFFFFF"/>
              </w:rPr>
              <w:t xml:space="preserve">Impacto</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bCs/>
                <w:color w:val="C2780C"/>
              </w:rPr>
              <w:t xml:space="preserve">Alto</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Sin streaming en respuestas de IA (espera bloqueante hasta 180s por turno).</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El chat se percibe lento y 'congelado'; imposible lograr sensación premium tipo Jarvis sin esto.</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bCs/>
                <w:color w:val="C2780C"/>
              </w:rPr>
              <w:t xml:space="preserve">Alto</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Un hilo (Thread) nuevo por cada acción de UI en desktop.py/email_ui.py, sin pool ni control de concurrencia.</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Riesgo de hilos huérfanos, clics duplicados generando llamadas duplicadas, y sin cancelación si el usuario navega a otra sección.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bCs/>
                <w:color w:val="2E6DA4"/>
              </w:rPr>
              <w:t xml:space="preserve">Medio</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Llamadas HTTP repetidas y redundantes desde la app de escritorio al recargar cada sección (sin caché ni invalidación).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Tráfico innecesario y demoras al cambiar de pestaña.</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bCs/>
                <w:color w:val="2E6DA4"/>
              </w:rPr>
              <w:t xml:space="preserve">Medio</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SQLite sin índices explícitos más allá de claves primarias/foráneas; sin paginación en endpoints de listado (GET /projects, /tasks, /calendar/events).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Hoy no se nota porque el volumen de datos es bajo; escalará mal si el uso crece.</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bCs/>
                <w:color w:val="2E6DA4"/>
              </w:rPr>
              <w:t xml:space="preserve">Bajo</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init_db() se ejecuta como efecto colateral al importar database.py.</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Comportamiento implícito difícil de testear o de orquestar en otros contextos (ej. tests, scripts).</w:t>
            </w:r>
          </w:p>
        </w:tc>
      </w:tr>
    </w:tbl>
    <w:p>
      <w:pPr>
        <w:pStyle w:val="Heading2"/>
      </w:pPr>
      <w:r>
        <w:t xml:space="preserve">3.2 Código duplicado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4060"/>
        <w:gridCol w:w="4000"/>
      </w:tblGrid>
      <w:tr>
        <w:tc>
          <w:tcPr>
            <w:tcW w:type="dxa" w:w="1300"/>
            <w:tcBorders>
              <w:top w:val="single" w:color="CCCCCC" w:sz="1"/>
              <w:left w:val="single" w:color="CCCCCC" w:sz="1"/>
              <w:bottom w:val="single" w:color="CCCCCC" w:sz="1"/>
              <w:right w:val="single" w:color="CCCCCC" w:sz="1"/>
            </w:tcBorders>
            <w:shd w:fill="0B1B2B" w:val="clear"/>
            <w:tcMar>
              <w:top w:type="dxa" w:w="80"/>
              <w:left w:type="dxa" w:w="120"/>
              <w:bottom w:type="dxa" w:w="80"/>
              <w:right w:type="dxa" w:w="120"/>
            </w:tcMar>
            <w:vAlign w:val="center"/>
          </w:tcPr>
          <w:p>
            <w:pPr>
              <w:jc w:val="left"/>
            </w:pPr>
            <w:r>
              <w:rPr>
                <w:b/>
                <w:bCs/>
                <w:color w:val="FFFFFF"/>
              </w:rPr>
              <w:t xml:space="preserve">Severidad</w:t>
            </w:r>
          </w:p>
        </w:tc>
        <w:tc>
          <w:tcPr>
            <w:tcW w:type="dxa" w:w="4060"/>
            <w:tcBorders>
              <w:top w:val="single" w:color="CCCCCC" w:sz="1"/>
              <w:left w:val="single" w:color="CCCCCC" w:sz="1"/>
              <w:bottom w:val="single" w:color="CCCCCC" w:sz="1"/>
              <w:right w:val="single" w:color="CCCCCC" w:sz="1"/>
            </w:tcBorders>
            <w:shd w:fill="0B1B2B" w:val="clear"/>
            <w:tcMar>
              <w:top w:type="dxa" w:w="80"/>
              <w:left w:type="dxa" w:w="120"/>
              <w:bottom w:type="dxa" w:w="80"/>
              <w:right w:type="dxa" w:w="120"/>
            </w:tcMar>
            <w:vAlign w:val="center"/>
          </w:tcPr>
          <w:p>
            <w:pPr>
              <w:jc w:val="left"/>
            </w:pPr>
            <w:r>
              <w:rPr>
                <w:b/>
                <w:bCs/>
                <w:color w:val="FFFFFF"/>
              </w:rPr>
              <w:t xml:space="preserve">Hallazgo</w:t>
            </w:r>
          </w:p>
        </w:tc>
        <w:tc>
          <w:tcPr>
            <w:tcW w:type="dxa" w:w="4000"/>
            <w:tcBorders>
              <w:top w:val="single" w:color="CCCCCC" w:sz="1"/>
              <w:left w:val="single" w:color="CCCCCC" w:sz="1"/>
              <w:bottom w:val="single" w:color="CCCCCC" w:sz="1"/>
              <w:right w:val="single" w:color="CCCCCC" w:sz="1"/>
            </w:tcBorders>
            <w:shd w:fill="0B1B2B" w:val="clear"/>
            <w:tcMar>
              <w:top w:type="dxa" w:w="80"/>
              <w:left w:type="dxa" w:w="120"/>
              <w:bottom w:type="dxa" w:w="80"/>
              <w:right w:type="dxa" w:w="120"/>
            </w:tcMar>
            <w:vAlign w:val="center"/>
          </w:tcPr>
          <w:p>
            <w:pPr>
              <w:jc w:val="left"/>
            </w:pPr>
            <w:r>
              <w:rPr>
                <w:b/>
                <w:bCs/>
                <w:color w:val="FFFFFF"/>
              </w:rPr>
              <w:t xml:space="preserve">Impacto</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bCs/>
                <w:color w:val="C2780C"/>
              </w:rPr>
              <w:t xml:space="preserve">Alto</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projects.py y tasks.py reimplementan manualmente el mismo patrón CRUD (SessionLocal() abierto/cerrado a mano, try/except que devuelve {'error': str(e)} con HTTP 200) sin ninguna abstracción compartida.</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Cada nuevo recurso (y se van a añadir varios: agentes, proveedores de voz, reglas de disponibilidad) repetirá el mismo código propenso a errores.</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bCs/>
                <w:color w:val="2E6DA4"/>
              </w:rPr>
              <w:t xml:space="preserve">Medio</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Coexisten dos patrones de acceso a datos: Depends(get_db) en agents.py/chat.py/calendar.py frente a SessionLocal() manual en projects.py/tasks.py.</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Inconsistencia que confunde a cualquiera que edite el backend y dificulta introducir transacciones o testing con DB en memoria.</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bCs/>
                <w:color w:val="2E6DA4"/>
              </w:rPr>
              <w:t xml:space="preserve">Medio</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app/db/models.py no define modelos: solo reexporta los definidos en database.py.</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Una capa de indirección sin propósito real; sugiere una refactorización a medias.</w:t>
            </w:r>
          </w:p>
        </w:tc>
      </w:tr>
    </w:tbl>
    <w:p>
      <w:pPr>
        <w:pStyle w:val="Heading2"/>
      </w:pPr>
      <w:r>
        <w:t xml:space="preserve">3.3 Deuda técnica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4060"/>
        <w:gridCol w:w="4000"/>
      </w:tblGrid>
      <w:tr>
        <w:tc>
          <w:tcPr>
            <w:tcW w:type="dxa" w:w="1300"/>
            <w:tcBorders>
              <w:top w:val="single" w:color="CCCCCC" w:sz="1"/>
              <w:left w:val="single" w:color="CCCCCC" w:sz="1"/>
              <w:bottom w:val="single" w:color="CCCCCC" w:sz="1"/>
              <w:right w:val="single" w:color="CCCCCC" w:sz="1"/>
            </w:tcBorders>
            <w:shd w:fill="0B1B2B" w:val="clear"/>
            <w:tcMar>
              <w:top w:type="dxa" w:w="80"/>
              <w:left w:type="dxa" w:w="120"/>
              <w:bottom w:type="dxa" w:w="80"/>
              <w:right w:type="dxa" w:w="120"/>
            </w:tcMar>
            <w:vAlign w:val="center"/>
          </w:tcPr>
          <w:p>
            <w:pPr>
              <w:jc w:val="left"/>
            </w:pPr>
            <w:r>
              <w:rPr>
                <w:b/>
                <w:bCs/>
                <w:color w:val="FFFFFF"/>
              </w:rPr>
              <w:t xml:space="preserve">Severidad</w:t>
            </w:r>
          </w:p>
        </w:tc>
        <w:tc>
          <w:tcPr>
            <w:tcW w:type="dxa" w:w="4060"/>
            <w:tcBorders>
              <w:top w:val="single" w:color="CCCCCC" w:sz="1"/>
              <w:left w:val="single" w:color="CCCCCC" w:sz="1"/>
              <w:bottom w:val="single" w:color="CCCCCC" w:sz="1"/>
              <w:right w:val="single" w:color="CCCCCC" w:sz="1"/>
            </w:tcBorders>
            <w:shd w:fill="0B1B2B" w:val="clear"/>
            <w:tcMar>
              <w:top w:type="dxa" w:w="80"/>
              <w:left w:type="dxa" w:w="120"/>
              <w:bottom w:type="dxa" w:w="80"/>
              <w:right w:type="dxa" w:w="120"/>
            </w:tcMar>
            <w:vAlign w:val="center"/>
          </w:tcPr>
          <w:p>
            <w:pPr>
              <w:jc w:val="left"/>
            </w:pPr>
            <w:r>
              <w:rPr>
                <w:b/>
                <w:bCs/>
                <w:color w:val="FFFFFF"/>
              </w:rPr>
              <w:t xml:space="preserve">Hallazgo</w:t>
            </w:r>
          </w:p>
        </w:tc>
        <w:tc>
          <w:tcPr>
            <w:tcW w:type="dxa" w:w="4000"/>
            <w:tcBorders>
              <w:top w:val="single" w:color="CCCCCC" w:sz="1"/>
              <w:left w:val="single" w:color="CCCCCC" w:sz="1"/>
              <w:bottom w:val="single" w:color="CCCCCC" w:sz="1"/>
              <w:right w:val="single" w:color="CCCCCC" w:sz="1"/>
            </w:tcBorders>
            <w:shd w:fill="0B1B2B" w:val="clear"/>
            <w:tcMar>
              <w:top w:type="dxa" w:w="80"/>
              <w:left w:type="dxa" w:w="120"/>
              <w:bottom w:type="dxa" w:w="80"/>
              <w:right w:type="dxa" w:w="120"/>
            </w:tcMar>
            <w:vAlign w:val="center"/>
          </w:tcPr>
          <w:p>
            <w:pPr>
              <w:jc w:val="left"/>
            </w:pPr>
            <w:r>
              <w:rPr>
                <w:b/>
                <w:bCs/>
                <w:color w:val="FFFFFF"/>
              </w:rPr>
              <w:t xml:space="preserve">Impacto</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bCs/>
                <w:color w:val="B00020"/>
              </w:rPr>
              <w:t xml:space="preserve">Crítico</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No hay control de versiones (sin carpeta .git) en todo el proyecto.</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Cualquier cambio, propio o de un asistente de IA, no es reversible de forma segura. Es el riesgo operativo más alto detectado.</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bCs/>
                <w:color w:val="C2780C"/>
              </w:rPr>
              <w:t xml:space="preserve">Alto</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No existe requirements.txt raíz del backend ni pyproject.toml; no hay forma reproducible de recrear el entorno Python.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Si el venv actual se pierde o se mueve de máquina, el proyecto no arranca sin reconstruir manualmente las dependencias por prueba y error.</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bCs/>
                <w:color w:val="C2780C"/>
              </w:rPr>
              <w:t xml:space="preserve">Alto</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Validación de entrada inexistente en projects.py y tasks.py (reciben dict crudo en vez de esquema Pydantic); errores de negocio devueltos como HTTP 200 con {'error': ...}.</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Los clientes no pueden distinguir éxito de fallo por código de estado; cualquier UI nueva (incluida la rediseñada) tendrá que adivinar el contrato.</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bCs/>
                <w:color w:val="C2780C"/>
              </w:rPr>
              <w:t xml:space="preserve">Alto</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sys.path.insert manual para importar modules/email_assistant desde el endpoint.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Frágil ante cambios de estructura de carpetas; no es un patrón de packaging válido a largo plazo.</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bCs/>
                <w:color w:val="2E6DA4"/>
              </w:rPr>
              <w:t xml:space="preserve">Medio</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CORS abierto a '*' y exception handler que filtra str(exc) al cliente.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Aceptable en localhost de un solo usuario hoy; sería un problema de seguridad si Aithera algún día expone el backend más allá de localhost.</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bCs/>
                <w:color w:val="2E6DA4"/>
              </w:rPr>
              <w:t xml:space="preserve">Medio</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Sin tests automatizados de ningún tipo (confirmado también en la documentación interna del proyecto).</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Cualquier rearquitectura sin red de seguridad de tests es más lenta y más arriesgada.</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bCs/>
                <w:color w:val="2E6DA4"/>
              </w:rPr>
              <w:t xml:space="preserve">Medio</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Doble ubicación de base de datos (repo vs %APPDATA%) y dato sin sincronizar entre ambas.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Riesgo de que el desarrollador edite/inspeccione la base de datos equivocada.</w:t>
            </w:r>
          </w:p>
        </w:tc>
      </w:tr>
    </w:tbl>
    <w:p>
      <w:pPr>
        <w:pStyle w:val="Heading2"/>
      </w:pPr>
      <w:r>
        <w:t xml:space="preserve">3.4 Problemas UX/UI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4060"/>
        <w:gridCol w:w="4000"/>
      </w:tblGrid>
      <w:tr>
        <w:tc>
          <w:tcPr>
            <w:tcW w:type="dxa" w:w="1300"/>
            <w:tcBorders>
              <w:top w:val="single" w:color="CCCCCC" w:sz="1"/>
              <w:left w:val="single" w:color="CCCCCC" w:sz="1"/>
              <w:bottom w:val="single" w:color="CCCCCC" w:sz="1"/>
              <w:right w:val="single" w:color="CCCCCC" w:sz="1"/>
            </w:tcBorders>
            <w:shd w:fill="0B1B2B" w:val="clear"/>
            <w:tcMar>
              <w:top w:type="dxa" w:w="80"/>
              <w:left w:type="dxa" w:w="120"/>
              <w:bottom w:type="dxa" w:w="80"/>
              <w:right w:type="dxa" w:w="120"/>
            </w:tcMar>
            <w:vAlign w:val="center"/>
          </w:tcPr>
          <w:p>
            <w:pPr>
              <w:jc w:val="left"/>
            </w:pPr>
            <w:r>
              <w:rPr>
                <w:b/>
                <w:bCs/>
                <w:color w:val="FFFFFF"/>
              </w:rPr>
              <w:t xml:space="preserve">Severidad</w:t>
            </w:r>
          </w:p>
        </w:tc>
        <w:tc>
          <w:tcPr>
            <w:tcW w:type="dxa" w:w="4060"/>
            <w:tcBorders>
              <w:top w:val="single" w:color="CCCCCC" w:sz="1"/>
              <w:left w:val="single" w:color="CCCCCC" w:sz="1"/>
              <w:bottom w:val="single" w:color="CCCCCC" w:sz="1"/>
              <w:right w:val="single" w:color="CCCCCC" w:sz="1"/>
            </w:tcBorders>
            <w:shd w:fill="0B1B2B" w:val="clear"/>
            <w:tcMar>
              <w:top w:type="dxa" w:w="80"/>
              <w:left w:type="dxa" w:w="120"/>
              <w:bottom w:type="dxa" w:w="80"/>
              <w:right w:type="dxa" w:w="120"/>
            </w:tcMar>
            <w:vAlign w:val="center"/>
          </w:tcPr>
          <w:p>
            <w:pPr>
              <w:jc w:val="left"/>
            </w:pPr>
            <w:r>
              <w:rPr>
                <w:b/>
                <w:bCs/>
                <w:color w:val="FFFFFF"/>
              </w:rPr>
              <w:t xml:space="preserve">Hallazgo</w:t>
            </w:r>
          </w:p>
        </w:tc>
        <w:tc>
          <w:tcPr>
            <w:tcW w:type="dxa" w:w="4000"/>
            <w:tcBorders>
              <w:top w:val="single" w:color="CCCCCC" w:sz="1"/>
              <w:left w:val="single" w:color="CCCCCC" w:sz="1"/>
              <w:bottom w:val="single" w:color="CCCCCC" w:sz="1"/>
              <w:right w:val="single" w:color="CCCCCC" w:sz="1"/>
            </w:tcBorders>
            <w:shd w:fill="0B1B2B" w:val="clear"/>
            <w:tcMar>
              <w:top w:type="dxa" w:w="80"/>
              <w:left w:type="dxa" w:w="120"/>
              <w:bottom w:type="dxa" w:w="80"/>
              <w:right w:type="dxa" w:w="120"/>
            </w:tcMar>
            <w:vAlign w:val="center"/>
          </w:tcPr>
          <w:p>
            <w:pPr>
              <w:jc w:val="left"/>
            </w:pPr>
            <w:r>
              <w:rPr>
                <w:b/>
                <w:bCs/>
                <w:color w:val="FFFFFF"/>
              </w:rPr>
              <w:t xml:space="preserve">Impacto</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bCs/>
                <w:color w:val="B00020"/>
              </w:rPr>
              <w:t xml:space="preserve">Crítico</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La única UI funcional (CustomTkinter) es técnicamente incapaz de producir animaciones fluidas, efectos de partículas, glassmorphism real o un avatar con pulsos reactivos — los pilares visuales de la Fase 4.</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El objetivo 'Jarvis / Iron Man HUD' no es alcanzable sobre la base actual sin cambiar de stack de presentación.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bCs/>
                <w:color w:val="C2780C"/>
              </w:rPr>
              <w:t xml:space="preserve">Alto</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Tema visual actual es un dashboard oscuro genérico con acento cian, sin jerarquía visual distintiva ni motion design.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Se percibe como herramienta interna, no como producto premium.</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bCs/>
                <w:color w:val="2E6DA4"/>
              </w:rPr>
              <w:t xml:space="preserve">Medio</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Creación de proyecto/tarea en desktop.py requiere abrir formularios con múltiples campos en ventanas modales secuenciales.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No cumple el objetivo de creación en menos de 10 segundos pedido en la Fase 6.</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bCs/>
                <w:color w:val="2E6DA4"/>
              </w:rPr>
              <w:t xml:space="preserve">Medio</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No hay command palette, ni atajos de teclado, ni búsqueda global — patrones que sí tienen Raycast/Superhuman/Notion (referencias citadas).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Refuerza la sensación de herramienta interna en vez de producto premium.</w:t>
            </w:r>
          </w:p>
        </w:tc>
      </w:tr>
    </w:tbl>
    <w:p>
      <w:pPr>
        <w:pStyle w:val="Heading2"/>
      </w:pPr>
      <w:r>
        <w:t xml:space="preserve">3.5 Módulos incompletos o inexistentes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4060"/>
        <w:gridCol w:w="4000"/>
      </w:tblGrid>
      <w:tr>
        <w:tc>
          <w:tcPr>
            <w:tcW w:type="dxa" w:w="1300"/>
            <w:tcBorders>
              <w:top w:val="single" w:color="CCCCCC" w:sz="1"/>
              <w:left w:val="single" w:color="CCCCCC" w:sz="1"/>
              <w:bottom w:val="single" w:color="CCCCCC" w:sz="1"/>
              <w:right w:val="single" w:color="CCCCCC" w:sz="1"/>
            </w:tcBorders>
            <w:shd w:fill="0B1B2B" w:val="clear"/>
            <w:tcMar>
              <w:top w:type="dxa" w:w="80"/>
              <w:left w:type="dxa" w:w="120"/>
              <w:bottom w:type="dxa" w:w="80"/>
              <w:right w:type="dxa" w:w="120"/>
            </w:tcMar>
            <w:vAlign w:val="center"/>
          </w:tcPr>
          <w:p>
            <w:pPr>
              <w:jc w:val="left"/>
            </w:pPr>
            <w:r>
              <w:rPr>
                <w:b/>
                <w:bCs/>
                <w:color w:val="FFFFFF"/>
              </w:rPr>
              <w:t xml:space="preserve">Severidad</w:t>
            </w:r>
          </w:p>
        </w:tc>
        <w:tc>
          <w:tcPr>
            <w:tcW w:type="dxa" w:w="4060"/>
            <w:tcBorders>
              <w:top w:val="single" w:color="CCCCCC" w:sz="1"/>
              <w:left w:val="single" w:color="CCCCCC" w:sz="1"/>
              <w:bottom w:val="single" w:color="CCCCCC" w:sz="1"/>
              <w:right w:val="single" w:color="CCCCCC" w:sz="1"/>
            </w:tcBorders>
            <w:shd w:fill="0B1B2B" w:val="clear"/>
            <w:tcMar>
              <w:top w:type="dxa" w:w="80"/>
              <w:left w:type="dxa" w:w="120"/>
              <w:bottom w:type="dxa" w:w="80"/>
              <w:right w:type="dxa" w:w="120"/>
            </w:tcMar>
            <w:vAlign w:val="center"/>
          </w:tcPr>
          <w:p>
            <w:pPr>
              <w:jc w:val="left"/>
            </w:pPr>
            <w:r>
              <w:rPr>
                <w:b/>
                <w:bCs/>
                <w:color w:val="FFFFFF"/>
              </w:rPr>
              <w:t xml:space="preserve">Hallazgo</w:t>
            </w:r>
          </w:p>
        </w:tc>
        <w:tc>
          <w:tcPr>
            <w:tcW w:type="dxa" w:w="4000"/>
            <w:tcBorders>
              <w:top w:val="single" w:color="CCCCCC" w:sz="1"/>
              <w:left w:val="single" w:color="CCCCCC" w:sz="1"/>
              <w:bottom w:val="single" w:color="CCCCCC" w:sz="1"/>
              <w:right w:val="single" w:color="CCCCCC" w:sz="1"/>
            </w:tcBorders>
            <w:shd w:fill="0B1B2B" w:val="clear"/>
            <w:tcMar>
              <w:top w:type="dxa" w:w="80"/>
              <w:left w:type="dxa" w:w="120"/>
              <w:bottom w:type="dxa" w:w="80"/>
              <w:right w:type="dxa" w:w="120"/>
            </w:tcMar>
            <w:vAlign w:val="center"/>
          </w:tcPr>
          <w:p>
            <w:pPr>
              <w:jc w:val="left"/>
            </w:pPr>
            <w:r>
              <w:rPr>
                <w:b/>
                <w:bCs/>
                <w:color w:val="FFFFFF"/>
              </w:rPr>
              <w:t xml:space="preserve">Impacto</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bCs/>
                <w:color w:val="B00020"/>
              </w:rPr>
              <w:t xml:space="preserve">Crítico</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Negociación automática de reuniones vía email (Fase 3): no existe ningún componente — ni reglas de disponibilidad por día/tipo, ni generación de alternativas, ni bucle de negociación.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Es la funcionalidad más ambiciosa solicitada y la que parte completamente de cero.</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bCs/>
                <w:color w:val="C2780C"/>
              </w:rPr>
              <w:t xml:space="preserve">Alto</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Sistema de Voz multi-proveedor (Fase 5): solo existe pyttsx3 + speech_recognition hardcodeado; no hay selección de idioma/acento/voz/personalidad, ni arquitectura de proveedores (ElevenLabs, OpenAI Voices, Minimax Voice, Piper, Coqui).</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Hay que construir esta capa desde cero, similar en esfuerzo al sistema de proveedores de IA.</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bCs/>
                <w:color w:val="C2780C"/>
              </w:rPr>
              <w:t xml:space="preserve">Alto</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Configuración → Modelos IA con alta/baja/activación de proveedores y prueba de conexión desde UI: no existe ninguna pantalla de configuración de IA; todo es por variable de entorno.</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Bloquea el objetivo de poder añadir/quitar proveedores sin tocar código.</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bCs/>
                <w:color w:val="C2780C"/>
              </w:rPr>
              <w:t xml:space="preserve">Alto</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Agentes internos (Research, Builder, Strategist) y agentes externos (Minimax, TRAE, Claude Code): no implementados; solo existe Architect, desconectado del CRUD de agentes.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La sección 'Agentes' no es funcional más allá de un listado vacío en base de datos.</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bCs/>
                <w:color w:val="2E6DA4"/>
              </w:rPr>
              <w:t xml:space="preserve">Medio</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Acciones por IA sobre tareas/proyectos/calendario/emails (Fase 8) mediante tool calling: no existe ningún mecanismo de function calling ni de herramientas internas expuestas al modelo.</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El chat de IA hoy solo conversa; no puede ejecutar 'añade una tarea' de forma fiable.</w:t>
            </w:r>
          </w:p>
        </w:tc>
      </w:tr>
    </w:tbl>
    <w:p>
      <w:pPr>
        <w:pStyle w:val="Heading2"/>
      </w:pPr>
      <w:r>
        <w:t xml:space="preserve">3.6 Riesgos de escalabilidad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4060"/>
        <w:gridCol w:w="4000"/>
      </w:tblGrid>
      <w:tr>
        <w:tc>
          <w:tcPr>
            <w:tcW w:type="dxa" w:w="1300"/>
            <w:tcBorders>
              <w:top w:val="single" w:color="CCCCCC" w:sz="1"/>
              <w:left w:val="single" w:color="CCCCCC" w:sz="1"/>
              <w:bottom w:val="single" w:color="CCCCCC" w:sz="1"/>
              <w:right w:val="single" w:color="CCCCCC" w:sz="1"/>
            </w:tcBorders>
            <w:shd w:fill="0B1B2B" w:val="clear"/>
            <w:tcMar>
              <w:top w:type="dxa" w:w="80"/>
              <w:left w:type="dxa" w:w="120"/>
              <w:bottom w:type="dxa" w:w="80"/>
              <w:right w:type="dxa" w:w="120"/>
            </w:tcMar>
            <w:vAlign w:val="center"/>
          </w:tcPr>
          <w:p>
            <w:pPr>
              <w:jc w:val="left"/>
            </w:pPr>
            <w:r>
              <w:rPr>
                <w:b/>
                <w:bCs/>
                <w:color w:val="FFFFFF"/>
              </w:rPr>
              <w:t xml:space="preserve">Severidad</w:t>
            </w:r>
          </w:p>
        </w:tc>
        <w:tc>
          <w:tcPr>
            <w:tcW w:type="dxa" w:w="4060"/>
            <w:tcBorders>
              <w:top w:val="single" w:color="CCCCCC" w:sz="1"/>
              <w:left w:val="single" w:color="CCCCCC" w:sz="1"/>
              <w:bottom w:val="single" w:color="CCCCCC" w:sz="1"/>
              <w:right w:val="single" w:color="CCCCCC" w:sz="1"/>
            </w:tcBorders>
            <w:shd w:fill="0B1B2B" w:val="clear"/>
            <w:tcMar>
              <w:top w:type="dxa" w:w="80"/>
              <w:left w:type="dxa" w:w="120"/>
              <w:bottom w:type="dxa" w:w="80"/>
              <w:right w:type="dxa" w:w="120"/>
            </w:tcMar>
            <w:vAlign w:val="center"/>
          </w:tcPr>
          <w:p>
            <w:pPr>
              <w:jc w:val="left"/>
            </w:pPr>
            <w:r>
              <w:rPr>
                <w:b/>
                <w:bCs/>
                <w:color w:val="FFFFFF"/>
              </w:rPr>
              <w:t xml:space="preserve">Hallazgo</w:t>
            </w:r>
          </w:p>
        </w:tc>
        <w:tc>
          <w:tcPr>
            <w:tcW w:type="dxa" w:w="4000"/>
            <w:tcBorders>
              <w:top w:val="single" w:color="CCCCCC" w:sz="1"/>
              <w:left w:val="single" w:color="CCCCCC" w:sz="1"/>
              <w:bottom w:val="single" w:color="CCCCCC" w:sz="1"/>
              <w:right w:val="single" w:color="CCCCCC" w:sz="1"/>
            </w:tcBorders>
            <w:shd w:fill="0B1B2B" w:val="clear"/>
            <w:tcMar>
              <w:top w:type="dxa" w:w="80"/>
              <w:left w:type="dxa" w:w="120"/>
              <w:bottom w:type="dxa" w:w="80"/>
              <w:right w:type="dxa" w:w="120"/>
            </w:tcMar>
            <w:vAlign w:val="center"/>
          </w:tcPr>
          <w:p>
            <w:pPr>
              <w:jc w:val="left"/>
            </w:pPr>
            <w:r>
              <w:rPr>
                <w:b/>
                <w:bCs/>
                <w:color w:val="FFFFFF"/>
              </w:rPr>
              <w:t xml:space="preserve">Impacto</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bCs/>
                <w:color w:val="2E6DA4"/>
              </w:rPr>
              <w:t xml:space="preserve">Medio</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SQLite + un único archivo de base de datos sin migraciones (Alembic) y con esquema definido directamente en el ORM.</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Cualquier cambio de esquema futuro (que habrá muchos en este roadmap) requiere borrar/migrar la base de datos a mano.</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bCs/>
                <w:color w:val="2E6DA4"/>
              </w:rPr>
              <w:t xml:space="preserve">Medio</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AIManager singleton en memoria, sin persistencia de qué proveedor/modelo está activo entre reinicios salvo por variables de entorno.</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Las preferencias de IA del usuario no sobreviven a un reinicio del backend si se cambiaron solo en runtime.</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bCs/>
                <w:color w:val="2E6DA4"/>
              </w:rPr>
              <w:t xml:space="preserve">Bajo</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Backend pensado para un solo usuario, un solo proceso, ejecución local — no hay diseño multiusuario ni multitenancy.</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Aceptable mientras Aithera siga siendo un sistema personal; a documentar como decisión consciente, no como descuido.</w:t>
            </w:r>
          </w:p>
        </w:tc>
      </w:tr>
    </w:tbl>
    <w:p>
      <w:pPr>
        <w:pStyle w:val="Heading1"/>
      </w:pPr>
      <w:r>
        <w:t xml:space="preserve">4. Riesgos Críticos</w:t>
      </w:r>
    </w:p>
    <w:p>
      <w:pPr>
        <w:pStyle w:val="ListParagraph"/>
        <w:numPr>
          <w:ilvl w:val="0"/>
          <w:numId w:val="3"/>
        </w:numPr>
        <w:spacing w:after="80"/>
      </w:pPr>
      <w:r>
        <w:t xml:space="preserve">Pérdida de trabajo sin red de seguridad: no hay Git. Antes de tocar una sola línea de código del proyecto real, se debe inicializar un repositorio y hacer commit del estado actual. Es la acción de menor esfuerzo y mayor protección de todo este informe.</w:t>
      </w:r>
    </w:p>
    <w:p>
      <w:pPr>
        <w:pStyle w:val="ListParagraph"/>
        <w:numPr>
          <w:ilvl w:val="0"/>
          <w:numId w:val="3"/>
        </w:numPr>
        <w:spacing w:after="80"/>
      </w:pPr>
      <w:r>
        <w:t xml:space="preserve">Decisión de stack de presentación postergada indefinidamente: mientras no se decida si la UI vive en CustomTkinter o en Electron+React, cualquier trabajo sobre 'Fase 4 — Hub Visual' es esfuerzo que puede descartarse.</w:t>
      </w:r>
    </w:p>
    <w:p>
      <w:pPr>
        <w:pStyle w:val="ListParagraph"/>
        <w:numPr>
          <w:ilvl w:val="0"/>
          <w:numId w:val="3"/>
        </w:numPr>
        <w:spacing w:after="80"/>
      </w:pPr>
      <w:r>
        <w:t xml:space="preserve">Alcance de la Fase 3 (negociación automática) subestimado: requiere diseñar un motor de reglas de disponibilidad, un sistema de generación de propuestas y un bucle de estado conversacional persistente por hilo de email — es, en complejidad, comparable a todo el resto del backend actual junto.</w:t>
      </w:r>
    </w:p>
    <w:p>
      <w:pPr>
        <w:pStyle w:val="ListParagraph"/>
        <w:numPr>
          <w:ilvl w:val="0"/>
          <w:numId w:val="3"/>
        </w:numPr>
        <w:spacing w:after="80"/>
      </w:pPr>
      <w:r>
        <w:t xml:space="preserve">Multiplicación de proveedores (7 de IA + 5 de voz) sin una capa de abstracción común desde el día uno puede generar el mismo problema de duplicación que ya existe entre projects.py y tasks.py, pero multiplicado.</w:t>
      </w:r>
    </w:p>
    <w:p>
      <w:pPr>
        <w:pStyle w:val="ListParagraph"/>
        <w:numPr>
          <w:ilvl w:val="0"/>
          <w:numId w:val="3"/>
        </w:numPr>
        <w:spacing w:after="80"/>
      </w:pPr>
      <w:r>
        <w:t xml:space="preserve">El módulo Email Assistant maneja credenciales OAuth y puede enviar correos/crear eventos reales. Cualquier refactor de esa zona debe mantener la regla actual de 'confirmación obligatoria antes de toda acción sensible' — es la salvaguarda de seguridad más importante que ya existe y no debe perderse en la migración.</w:t>
      </w:r>
    </w:p>
    <w:p>
      <w:pPr>
        <w:pStyle w:val="Heading1"/>
      </w:pPr>
      <w:r>
        <w:t xml:space="preserve">5. Decisión Arquitectónica Crítica — Capa de Presentación</w:t>
      </w:r>
    </w:p>
    <w:p>
      <w:pPr>
        <w:spacing w:after="160"/>
      </w:pPr>
      <w:r>
        <w:t xml:space="preserve">Este es el punto de bifurcación que más afecta al resto del roadmap, y es una decisión que corresponde al usuario, no al asistente.</w:t>
      </w:r>
    </w:p>
    <w:p>
      <w:pPr>
        <w:pStyle w:val="Heading3"/>
      </w:pPr>
      <w:r>
        <w:t xml:space="preserve">Opción A — Migrar a Electron + React (retomar frontend/ ya iniciado)</w:t>
      </w:r>
    </w:p>
    <w:p>
      <w:pPr>
        <w:pStyle w:val="ListParagraph"/>
        <w:numPr>
          <w:ilvl w:val="0"/>
          <w:numId w:val="2"/>
        </w:numPr>
        <w:spacing w:after="80"/>
      </w:pPr>
      <w:r>
        <w:t xml:space="preserve">Permite construir el HUD tipo Jarvis con animaciones reales: WebGL/Canvas/Lottie/Framer Motion, glassmorphism, partículas, avatar reactivo.</w:t>
      </w:r>
    </w:p>
    <w:p>
      <w:pPr>
        <w:pStyle w:val="ListParagraph"/>
        <w:numPr>
          <w:ilvl w:val="0"/>
          <w:numId w:val="2"/>
        </w:numPr>
        <w:spacing w:after="80"/>
      </w:pPr>
      <w:r>
        <w:t xml:space="preserve">El backend FastAPI se mantiene prácticamente igual — solo cambia el cliente.</w:t>
      </w:r>
    </w:p>
    <w:p>
      <w:pPr>
        <w:pStyle w:val="ListParagraph"/>
        <w:numPr>
          <w:ilvl w:val="0"/>
          <w:numId w:val="2"/>
        </w:numPr>
        <w:spacing w:after="80"/>
      </w:pPr>
      <w:r>
        <w:t xml:space="preserve">Coste: hay que escribir el frontend completo desde cero (hoy está vacío); es esencialmente empezar el cliente de nuevo, aunque con dependencias ya elegidas (React 18, Vite 5, Zustand, React Router).</w:t>
      </w:r>
    </w:p>
    <w:p>
      <w:pPr>
        <w:pStyle w:val="Heading3"/>
      </w:pPr>
      <w:r>
        <w:t xml:space="preserve">Opción B — Quedarse en CustomTkinter y maximizar lo posible</w:t>
      </w:r>
    </w:p>
    <w:p>
      <w:pPr>
        <w:pStyle w:val="ListParagraph"/>
        <w:numPr>
          <w:ilvl w:val="0"/>
          <w:numId w:val="2"/>
        </w:numPr>
        <w:spacing w:after="80"/>
      </w:pPr>
      <w:r>
        <w:t xml:space="preserve">Coste de migración cero; se sigue iterando sobre desktop.py.</w:t>
      </w:r>
    </w:p>
    <w:p>
      <w:pPr>
        <w:pStyle w:val="ListParagraph"/>
        <w:numPr>
          <w:ilvl w:val="0"/>
          <w:numId w:val="2"/>
        </w:numPr>
        <w:spacing w:after="80"/>
      </w:pPr>
      <w:r>
        <w:t xml:space="preserve">Techo visual bajo: gradientes y temas oscuros son viables; partículas, glow dinámico, animaciones de avatar fluidas, no lo son de forma creíble.</w:t>
      </w:r>
    </w:p>
    <w:p>
      <w:pPr>
        <w:pStyle w:val="ListParagraph"/>
        <w:numPr>
          <w:ilvl w:val="0"/>
          <w:numId w:val="2"/>
        </w:numPr>
        <w:spacing w:after="80"/>
      </w:pPr>
      <w:r>
        <w:t xml:space="preserve">Es la opción más rápida a corto plazo pero la que más se aleja del objetivo 'Jarvis / Iron Man / Cursor / Notion / Motion / Raycast / Superhuman' explícitamente pedido.</w:t>
      </w:r>
    </w:p>
    <w:p>
      <w:pPr>
        <w:pBdr>
          <w:left w:val="single" w:color="0E7C8C" w:sz="12" w:space="8"/>
        </w:pBdr>
        <w:spacing w:after="200"/>
      </w:pPr>
      <w:r>
        <w:rPr>
          <w:i/>
          <w:iCs/>
          <w:color w:val="404040"/>
        </w:rPr>
        <w:t xml:space="preserve">Recomendación: Opción A. El propio objetivo general del proyecto (sensación Jarvis/Iron Man, premium, fluida) es incompatible con CustomTkinter como tecnología de UI. El frontend Electron+React ya tiene las dependencias correctas elegidas (React, Vite, Zustand, Router) — simplemente nunca se llegó a escribir código. Migrar ahora, antes de invertir más en CustomTkinter, evita reescribir trabajo más adelante.</w:t>
      </w:r>
    </w:p>
    <w:p>
      <w:pPr>
        <w:pStyle w:val="Heading1"/>
      </w:pPr>
      <w:r>
        <w:t xml:space="preserve">6. Plan de Rearquitectura por Fases</w:t>
      </w:r>
    </w:p>
    <w:p>
      <w:pPr>
        <w:spacing w:after="160"/>
      </w:pPr>
      <w:r>
        <w:t xml:space="preserve">Se respeta la estructura de 8 fases del briefing original, indicando para cada una qué existe, qué falta y el enfoque recomendado.</w:t>
      </w:r>
    </w:p>
    <w:p>
      <w:pPr>
        <w:pStyle w:val="Heading2"/>
      </w:pPr>
      <w:r>
        <w:t xml:space="preserve">Fase 1 — Rendimiento</w:t>
      </w:r>
    </w:p>
    <w:p>
      <w:pPr>
        <w:pStyle w:val="ListParagraph"/>
        <w:numPr>
          <w:ilvl w:val="0"/>
          <w:numId w:val="2"/>
        </w:numPr>
        <w:spacing w:after="80"/>
      </w:pPr>
      <w:r>
        <w:t xml:space="preserve">Sustituir las llamadas de IA bloqueantes por streaming (Server-Sent Events o WebSocket) en el backend y consumo incremental en el cliente.</w:t>
      </w:r>
    </w:p>
    <w:p>
      <w:pPr>
        <w:pStyle w:val="ListParagraph"/>
        <w:numPr>
          <w:ilvl w:val="0"/>
          <w:numId w:val="2"/>
        </w:numPr>
        <w:spacing w:after="80"/>
      </w:pPr>
      <w:r>
        <w:t xml:space="preserve">Introducir Depends(get_db) como único patrón de acceso a datos; eliminar SessionLocal() manual de projects.py y tasks.py.</w:t>
      </w:r>
    </w:p>
    <w:p>
      <w:pPr>
        <w:pStyle w:val="ListParagraph"/>
        <w:numPr>
          <w:ilvl w:val="0"/>
          <w:numId w:val="2"/>
        </w:numPr>
        <w:spacing w:after="80"/>
      </w:pPr>
      <w:r>
        <w:t xml:space="preserve">Añadir paginación a los endpoints de listado y caché en cliente (React Query o equivalente) para eliminar refetching redundante.</w:t>
      </w:r>
    </w:p>
    <w:p>
      <w:pPr>
        <w:pStyle w:val="ListParagraph"/>
        <w:numPr>
          <w:ilvl w:val="0"/>
          <w:numId w:val="2"/>
        </w:numPr>
        <w:spacing w:after="80"/>
      </w:pPr>
      <w:r>
        <w:t xml:space="preserve">Sustituir los Thread ad-hoc del cliente de escritorio por el modelo de concurrencia nativo del nuevo cliente (si se adopta Electron+React, esto se resuelve solo con fetch asíncrono + estado reactivo).</w:t>
      </w:r>
    </w:p>
    <w:p>
      <w:pPr>
        <w:pStyle w:val="Heading2"/>
      </w:pPr>
      <w:r>
        <w:t xml:space="preserve">Fase 2 — Sistema de IA</w:t>
      </w:r>
    </w:p>
    <w:p>
      <w:pPr>
        <w:pStyle w:val="ListParagraph"/>
        <w:numPr>
          <w:ilvl w:val="0"/>
          <w:numId w:val="2"/>
        </w:numPr>
        <w:spacing w:after="80"/>
      </w:pPr>
      <w:r>
        <w:t xml:space="preserve">Extraer una interfaz de proveedor común ya existente (BaseAIProvider) y extenderla a los 7 proveedores pedidos: Ollama, Minimax, OpenAI, Anthropic, Google Gemini, OpenRouter, DeepSeek, Grok.</w:t>
      </w:r>
    </w:p>
    <w:p>
      <w:pPr>
        <w:pStyle w:val="ListParagraph"/>
        <w:numPr>
          <w:ilvl w:val="0"/>
          <w:numId w:val="2"/>
        </w:numPr>
        <w:spacing w:after="80"/>
      </w:pPr>
      <w:r>
        <w:t xml:space="preserve">Persistir configuración de proveedores/modelos/API keys en base de datos (tabla Config ya existe; falta el modelo de 'proveedor configurado' con estado activo/inactivo y API key referenciada de forma segura, nunca incrustada en código).</w:t>
      </w:r>
    </w:p>
    <w:p>
      <w:pPr>
        <w:pStyle w:val="ListParagraph"/>
        <w:numPr>
          <w:ilvl w:val="0"/>
          <w:numId w:val="2"/>
        </w:numPr>
        <w:spacing w:after="80"/>
      </w:pPr>
      <w:r>
        <w:t xml:space="preserve">Construir pantalla Configuración → Modelos IA con: añadir/eliminar proveedor, activar/desactivar, cambiar modelo, botón 'Probar conexión' que llama a health_check().</w:t>
      </w:r>
    </w:p>
    <w:p>
      <w:pPr>
        <w:pStyle w:val="ListParagraph"/>
        <w:numPr>
          <w:ilvl w:val="0"/>
          <w:numId w:val="2"/>
        </w:numPr>
        <w:spacing w:after="80"/>
      </w:pPr>
      <w:r>
        <w:t xml:space="preserve">Precargar catálogo de modelos pedido (Minimax 2.7 / 2.7 High Speed / M3, GPT-5 / GPT-5 Thinking, Claude Sonnet/Opus, Gemini Pro, DeepSeek V3/R1, OpenRouter dinámico, Ollama con detección automática vía /api/tags).</w:t>
      </w:r>
    </w:p>
    <w:p>
      <w:pPr>
        <w:pStyle w:val="ListParagraph"/>
        <w:numPr>
          <w:ilvl w:val="0"/>
          <w:numId w:val="2"/>
        </w:numPr>
        <w:spacing w:after="80"/>
      </w:pPr>
      <w:r>
        <w:t xml:space="preserve">Mantener historial de conversación real: enviar los últimos N turnos al proveedor, no solo el mensaje actual.</w:t>
      </w:r>
    </w:p>
    <w:p>
      <w:pPr>
        <w:pStyle w:val="Heading2"/>
      </w:pPr>
      <w:r>
        <w:t xml:space="preserve">Fase 3 — Email Assistant y Negociación Automática</w:t>
      </w:r>
    </w:p>
    <w:p>
      <w:pPr>
        <w:pStyle w:val="ListParagraph"/>
        <w:numPr>
          <w:ilvl w:val="0"/>
          <w:numId w:val="2"/>
        </w:numPr>
        <w:spacing w:after="80"/>
      </w:pPr>
      <w:r>
        <w:t xml:space="preserve">Mantener Email Assistant visible como sección de primer nivel (ya lo es; no requiere cambio de visibilidad).</w:t>
      </w:r>
    </w:p>
    <w:p>
      <w:pPr>
        <w:pStyle w:val="ListParagraph"/>
        <w:numPr>
          <w:ilvl w:val="0"/>
          <w:numId w:val="2"/>
        </w:numPr>
        <w:spacing w:after="80"/>
      </w:pPr>
      <w:r>
        <w:t xml:space="preserve">Diseñar modelo de 'reglas de disponibilidad': día de la semana por tipo de evento (Reunión/Evento/Entrega/Entrevista) por ventana horaria, configurable por el usuario.</w:t>
      </w:r>
    </w:p>
    <w:p>
      <w:pPr>
        <w:pStyle w:val="ListParagraph"/>
        <w:numPr>
          <w:ilvl w:val="0"/>
          <w:numId w:val="2"/>
        </w:numPr>
        <w:spacing w:after="80"/>
      </w:pPr>
      <w:r>
        <w:t xml:space="preserve">Construir motor de negociación como máquina de estados sobre conversation_engine: detectar propuesta de fecha en email entrante, validar contra reglas, si hay conflicto generar alternativas usando calendar_tool.check_conflicts() y las reglas de disponibilidad, responder automáticamente, esperar respuesta, repetir hasta acuerdo, sin quedar nunca bloqueado (incluir límite de reintentos con escalado a 'preguntar al usuario' como salida segura).</w:t>
      </w:r>
    </w:p>
    <w:p>
      <w:pPr>
        <w:pStyle w:val="ListParagraph"/>
        <w:numPr>
          <w:ilvl w:val="0"/>
          <w:numId w:val="2"/>
        </w:numPr>
        <w:spacing w:after="80"/>
      </w:pPr>
      <w:r>
        <w:t xml:space="preserve">Reutilizar la regla existente de confirmación obligatoria para el envío final del email de confirmación de reunión.</w:t>
      </w:r>
    </w:p>
    <w:p>
      <w:pPr>
        <w:pStyle w:val="Heading2"/>
      </w:pPr>
      <w:r>
        <w:t xml:space="preserve">Fase 4 — Hub Visual ('Jarvis')</w:t>
      </w:r>
    </w:p>
    <w:p>
      <w:pPr>
        <w:pStyle w:val="ListParagraph"/>
        <w:numPr>
          <w:ilvl w:val="0"/>
          <w:numId w:val="2"/>
        </w:numPr>
        <w:spacing w:after="80"/>
      </w:pPr>
      <w:r>
        <w:t xml:space="preserve">Condicionado a la decisión de la sección 5. Si se opta por Electron+React: construir el HUB central (estado del sistema, IA activa, calendario, proyectos, tareas, agentes, actividad reciente) como dashboard con animaciones (Framer Motion) y un avatar central animado (Canvas/WebGL) con pulsos al hablar.</w:t>
      </w:r>
    </w:p>
    <w:p>
      <w:pPr>
        <w:pStyle w:val="ListParagraph"/>
        <w:numPr>
          <w:ilvl w:val="0"/>
          <w:numId w:val="2"/>
        </w:numPr>
        <w:spacing w:after="80"/>
      </w:pPr>
      <w:r>
        <w:t xml:space="preserve">Definir un lenguaje visual propio (no plantilla genérica): paleta oscura con acentos de energía, tipografía técnica, microinteracciones consistentes.</w:t>
      </w:r>
    </w:p>
    <w:p>
      <w:pPr>
        <w:pStyle w:val="Heading2"/>
      </w:pPr>
      <w:r>
        <w:t xml:space="preserve">Fase 5 — Sistema de Voz</w:t>
      </w:r>
    </w:p>
    <w:p>
      <w:pPr>
        <w:pStyle w:val="ListParagraph"/>
        <w:numPr>
          <w:ilvl w:val="0"/>
          <w:numId w:val="2"/>
        </w:numPr>
        <w:spacing w:after="80"/>
      </w:pPr>
      <w:r>
        <w:t xml:space="preserve">Construir Voice Center con arquitectura de proveedores análoga a la de IA: interfaz común más adaptadores para ElevenLabs, OpenAI Voices, Minimax Voice, Piper, Coqui.</w:t>
      </w:r>
    </w:p>
    <w:p>
      <w:pPr>
        <w:pStyle w:val="ListParagraph"/>
        <w:numPr>
          <w:ilvl w:val="0"/>
          <w:numId w:val="2"/>
        </w:numPr>
        <w:spacing w:after="80"/>
      </w:pPr>
      <w:r>
        <w:t xml:space="preserve">Selector de idioma (ES/EN/FR/ZH/JA), variante de español (España/Argentina/México/Colombia), género de voz, velocidad/tono/energía.</w:t>
      </w:r>
    </w:p>
    <w:p>
      <w:pPr>
        <w:pStyle w:val="ListParagraph"/>
        <w:numPr>
          <w:ilvl w:val="0"/>
          <w:numId w:val="2"/>
        </w:numPr>
        <w:spacing w:after="80"/>
      </w:pPr>
      <w:r>
        <w:t xml:space="preserve">Prompt de personalidad configurable (Formal/Profesional/Amistoso/Sarcástico/Directo/Personalizado) inyectado como parte del system prompt del AI Manager.</w:t>
      </w:r>
    </w:p>
    <w:p>
      <w:pPr>
        <w:pStyle w:val="Heading2"/>
      </w:pPr>
      <w:r>
        <w:t xml:space="preserve">Fase 6 — Proyectos y Tareas</w:t>
      </w:r>
    </w:p>
    <w:p>
      <w:pPr>
        <w:pStyle w:val="ListParagraph"/>
        <w:numPr>
          <w:ilvl w:val="0"/>
          <w:numId w:val="2"/>
        </w:numPr>
        <w:spacing w:after="80"/>
      </w:pPr>
      <w:r>
        <w:t xml:space="preserve">Mantener el modelo de datos actual (ya cubre prioridad, estado, progreso, fechas) y enriquecerlo con responsable en tareas (campo ausente hoy).</w:t>
      </w:r>
    </w:p>
    <w:p>
      <w:pPr>
        <w:pStyle w:val="ListParagraph"/>
        <w:numPr>
          <w:ilvl w:val="0"/>
          <w:numId w:val="2"/>
        </w:numPr>
        <w:spacing w:after="80"/>
      </w:pPr>
      <w:r>
        <w:t xml:space="preserve">Rediseñar el flujo de creación para que cumpla 'menos de 10 segundos': formulario de una sola pantalla con campos mínimos obligatorios y el resto opcional/editable después.</w:t>
      </w:r>
    </w:p>
    <w:p>
      <w:pPr>
        <w:pStyle w:val="Heading2"/>
      </w:pPr>
      <w:r>
        <w:t xml:space="preserve">Fase 7 — Agentes</w:t>
      </w:r>
    </w:p>
    <w:p>
      <w:pPr>
        <w:pStyle w:val="ListParagraph"/>
        <w:numPr>
          <w:ilvl w:val="0"/>
          <w:numId w:val="2"/>
        </w:numPr>
        <w:spacing w:after="80"/>
      </w:pPr>
      <w:r>
        <w:t xml:space="preserve">Conectar el CRUD de Agent (base de datos) con clases de agente reales, de forma que cada fila en la tabla pueda mapear a un agente internamente ejecutable (Architect ya existe; añadir Research, Builder, Strategist con el mismo patrón).</w:t>
      </w:r>
    </w:p>
    <w:p>
      <w:pPr>
        <w:pStyle w:val="ListParagraph"/>
        <w:numPr>
          <w:ilvl w:val="0"/>
          <w:numId w:val="2"/>
        </w:numPr>
        <w:spacing w:after="80"/>
      </w:pPr>
      <w:r>
        <w:t xml:space="preserve">Para agentes externos (Minimax, TRAE, Claude Code): diseñar la integración exclusivamente vía APIs oficiales de cada uno. Descartado explícitamente: automatizar ventanas o simular pulsaciones de teclado, tal como pide el briefing.</w:t>
      </w:r>
    </w:p>
    <w:p>
      <w:pPr>
        <w:pStyle w:val="Heading2"/>
      </w:pPr>
      <w:r>
        <w:t xml:space="preserve">Fase 8 — Acciones por IA</w:t>
      </w:r>
    </w:p>
    <w:p>
      <w:pPr>
        <w:pStyle w:val="ListParagraph"/>
        <w:numPr>
          <w:ilvl w:val="0"/>
          <w:numId w:val="2"/>
        </w:numPr>
        <w:spacing w:after="80"/>
      </w:pPr>
      <w:r>
        <w:t xml:space="preserve">Introducir function calling / tool calling en el AI Manager: definir un conjunto de herramientas internas (crear_tarea, cerrar_tarea, bloquear_fecha, crear_proyecto, actualizar_progreso) que el modelo pueda invocar, ejecutadas contra los endpoints/servicios ya existentes, nunca manipulando la interfaz visual.</w:t>
      </w:r>
    </w:p>
    <w:p>
      <w:pPr>
        <w:pStyle w:val="ListParagraph"/>
        <w:numPr>
          <w:ilvl w:val="0"/>
          <w:numId w:val="2"/>
        </w:numPr>
        <w:spacing w:after="80"/>
      </w:pPr>
      <w:r>
        <w:t xml:space="preserve">Aplicar la misma regla de confirmación obligatoria del Email Assistant a cualquier acción de escritura desencadenada por IA sobre datos reales del usuario.</w:t>
      </w:r>
    </w:p>
    <w:p>
      <w:pPr>
        <w:pStyle w:val="Heading1"/>
      </w:pPr>
      <w:r>
        <w:t xml:space="preserve">7. Roadmap y Priorización</w:t>
      </w:r>
    </w:p>
    <w:p>
      <w:pPr>
        <w:spacing w:after="160"/>
      </w:pPr>
      <w:r>
        <w:t xml:space="preserve">P0 = bloqueante o fundacional, debe ir primero. P1 = alto valor, depende de P0. P2 = construcción de funcionalidad nueva sustancial. P3 = pulido y expansión.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200"/>
        <w:gridCol w:w="1300"/>
        <w:gridCol w:w="4160"/>
      </w:tblGrid>
      <w:tr>
        <w:tc>
          <w:tcPr>
            <w:tcW w:type="dxa" w:w="2700"/>
            <w:tcBorders>
              <w:top w:val="single" w:color="CCCCCC" w:sz="1"/>
              <w:left w:val="single" w:color="CCCCCC" w:sz="1"/>
              <w:bottom w:val="single" w:color="CCCCCC" w:sz="1"/>
              <w:right w:val="single" w:color="CCCCCC" w:sz="1"/>
            </w:tcBorders>
            <w:shd w:fill="0B1B2B" w:val="clear"/>
            <w:tcMar>
              <w:top w:type="dxa" w:w="80"/>
              <w:left w:type="dxa" w:w="120"/>
              <w:bottom w:type="dxa" w:w="80"/>
              <w:right w:type="dxa" w:w="120"/>
            </w:tcMar>
            <w:vAlign w:val="center"/>
          </w:tcPr>
          <w:p>
            <w:pPr>
              <w:jc w:val="left"/>
            </w:pPr>
            <w:r>
              <w:rPr>
                <w:b/>
                <w:bCs/>
                <w:color w:val="FFFFFF"/>
              </w:rPr>
              <w:t xml:space="preserve">Fase</w:t>
            </w:r>
          </w:p>
        </w:tc>
        <w:tc>
          <w:tcPr>
            <w:tcW w:type="dxa" w:w="1200"/>
            <w:tcBorders>
              <w:top w:val="single" w:color="CCCCCC" w:sz="1"/>
              <w:left w:val="single" w:color="CCCCCC" w:sz="1"/>
              <w:bottom w:val="single" w:color="CCCCCC" w:sz="1"/>
              <w:right w:val="single" w:color="CCCCCC" w:sz="1"/>
            </w:tcBorders>
            <w:shd w:fill="0B1B2B" w:val="clear"/>
            <w:tcMar>
              <w:top w:type="dxa" w:w="80"/>
              <w:left w:type="dxa" w:w="120"/>
              <w:bottom w:type="dxa" w:w="80"/>
              <w:right w:type="dxa" w:w="120"/>
            </w:tcMar>
            <w:vAlign w:val="center"/>
          </w:tcPr>
          <w:p>
            <w:pPr>
              <w:jc w:val="left"/>
            </w:pPr>
            <w:r>
              <w:rPr>
                <w:b/>
                <w:bCs/>
                <w:color w:val="FFFFFF"/>
              </w:rPr>
              <w:t xml:space="preserve">Prioridad</w:t>
            </w:r>
          </w:p>
        </w:tc>
        <w:tc>
          <w:tcPr>
            <w:tcW w:type="dxa" w:w="1300"/>
            <w:tcBorders>
              <w:top w:val="single" w:color="CCCCCC" w:sz="1"/>
              <w:left w:val="single" w:color="CCCCCC" w:sz="1"/>
              <w:bottom w:val="single" w:color="CCCCCC" w:sz="1"/>
              <w:right w:val="single" w:color="CCCCCC" w:sz="1"/>
            </w:tcBorders>
            <w:shd w:fill="0B1B2B" w:val="clear"/>
            <w:tcMar>
              <w:top w:type="dxa" w:w="80"/>
              <w:left w:type="dxa" w:w="120"/>
              <w:bottom w:type="dxa" w:w="80"/>
              <w:right w:type="dxa" w:w="120"/>
            </w:tcMar>
            <w:vAlign w:val="center"/>
          </w:tcPr>
          <w:p>
            <w:pPr>
              <w:jc w:val="left"/>
            </w:pPr>
            <w:r>
              <w:rPr>
                <w:b/>
                <w:bCs/>
                <w:color w:val="FFFFFF"/>
              </w:rPr>
              <w:t xml:space="preserve">Complejidad</w:t>
            </w:r>
          </w:p>
        </w:tc>
        <w:tc>
          <w:tcPr>
            <w:tcW w:type="dxa" w:w="4160"/>
            <w:tcBorders>
              <w:top w:val="single" w:color="CCCCCC" w:sz="1"/>
              <w:left w:val="single" w:color="CCCCCC" w:sz="1"/>
              <w:bottom w:val="single" w:color="CCCCCC" w:sz="1"/>
              <w:right w:val="single" w:color="CCCCCC" w:sz="1"/>
            </w:tcBorders>
            <w:shd w:fill="0B1B2B" w:val="clear"/>
            <w:tcMar>
              <w:top w:type="dxa" w:w="80"/>
              <w:left w:type="dxa" w:w="120"/>
              <w:bottom w:type="dxa" w:w="80"/>
              <w:right w:type="dxa" w:w="120"/>
            </w:tcMar>
            <w:vAlign w:val="center"/>
          </w:tcPr>
          <w:p>
            <w:pPr>
              <w:jc w:val="left"/>
            </w:pPr>
            <w:r>
              <w:rPr>
                <w:b/>
                <w:bCs/>
                <w:color w:val="FFFFFF"/>
              </w:rPr>
              <w:t xml:space="preserve">Notas clave</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bCs/>
              </w:rPr>
              <w:t xml:space="preserve">0. Higiene base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bCs/>
                <w:color w:val="B00020"/>
              </w:rPr>
              <w:t xml:space="preserve">P0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Baja</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Inicializar Git, congelar dependencias (requirements.txt + .env.example), unificar acceso a datos (Depends(get_db) en todo el backend), resolver ambigüedad de las dos rutas de base de datos.</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bCs/>
              </w:rPr>
              <w:t xml:space="preserve">1. Rendimiento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bCs/>
                <w:color w:val="B00020"/>
              </w:rPr>
              <w:t xml:space="preserve">P0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Media</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Streaming de IA, paginación, eliminar duplicación CRUD. Es prerrequisito de la sensación 'premium' pedida.</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bCs/>
              </w:rPr>
              <w:t xml:space="preserve">Decisión de stack UI</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bCs/>
                <w:color w:val="B00020"/>
              </w:rPr>
              <w:t xml:space="preserve">P0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Aprobar Electron+React vs CustomTkinter antes de iniciar Fase 4. Bloquea esa fase por completo.</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bCs/>
              </w:rPr>
              <w:t xml:space="preserve">2. Sistema de IA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bCs/>
                <w:color w:val="C2780C"/>
              </w:rPr>
              <w:t xml:space="preserve">P1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Alta</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7 proveedores, persistencia, pantalla de configuración, historial de conversación real.</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bCs/>
              </w:rPr>
              <w:t xml:space="preserve">6. Proyectos y Tareas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bCs/>
                <w:color w:val="C2780C"/>
              </w:rPr>
              <w:t xml:space="preserve">P1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Baja-Media</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Mejoras incrementales sobre algo que ya funciona; alto valor, bajo riesgo.</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bCs/>
              </w:rPr>
              <w:t xml:space="preserve">4. Hub Visual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bCs/>
                <w:color w:val="C2780C"/>
              </w:rPr>
              <w:t xml:space="preserve">P1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Alta</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Solo si se aprueba migración de stack; si no, se redefine como 'mejora visual incremental' de menor ambición.</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bCs/>
              </w:rPr>
              <w:t xml:space="preserve">5. Sistema de Voz</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bCs/>
                <w:color w:val="2E6DA4"/>
              </w:rPr>
              <w:t xml:space="preserve">P2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Alta</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Arquitectura de proveedores comparable en esfuerzo a la de IA; depende de tener ya el patrón de proveedores de la Fase 2.</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bCs/>
              </w:rPr>
              <w:t xml:space="preserve">7. Agentes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bCs/>
                <w:color w:val="2E6DA4"/>
              </w:rPr>
              <w:t xml:space="preserve">P2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Media-Alta</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Internos primero (mismo proceso); externos después (dependen de APIs oficiales de terceros, fuera del control de Aithera).</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bCs/>
              </w:rPr>
              <w:t xml:space="preserve">3. Negociación automática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bCs/>
                <w:color w:val="2E6DA4"/>
              </w:rPr>
              <w:t xml:space="preserve">P2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Muy alta</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La pieza más compleja del roadmap completo. Requiere diseño de máquina de estados dedicada; no debe iniciarse hasta validar el modelo de reglas de disponibilidad con el usuario.</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bCs/>
              </w:rPr>
              <w:t xml:space="preserve">8. Acciones por IA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bCs/>
                <w:color w:val="595959"/>
              </w:rPr>
              <w:t xml:space="preserve">P3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Media-Alta</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Depende de que Fases 2, 6 y 3 estén estables; el tool calling necesita endpoints y reglas de confirmación ya consolidados.</w:t>
            </w:r>
          </w:p>
        </w:tc>
      </w:tr>
    </w:tbl>
    <w:p>
      <w:pPr>
        <w:pStyle w:val="Heading1"/>
      </w:pPr>
      <w:r>
        <w:t xml:space="preserve">8. Próximos Pasos</w:t>
      </w:r>
    </w:p>
    <w:p>
      <w:pPr>
        <w:pStyle w:val="ListParagraph"/>
        <w:numPr>
          <w:ilvl w:val="0"/>
          <w:numId w:val="3"/>
        </w:numPr>
        <w:spacing w:after="80"/>
      </w:pPr>
      <w:r>
        <w:t xml:space="preserve">Aprobar o ajustar este informe.</w:t>
      </w:r>
    </w:p>
    <w:p>
      <w:pPr>
        <w:pStyle w:val="ListParagraph"/>
        <w:numPr>
          <w:ilvl w:val="0"/>
          <w:numId w:val="3"/>
        </w:numPr>
        <w:spacing w:after="80"/>
      </w:pPr>
      <w:r>
        <w:t xml:space="preserve">Decidir Opción A vs Opción B de la Sección 5 (stack de presentación).</w:t>
      </w:r>
    </w:p>
    <w:p>
      <w:pPr>
        <w:pStyle w:val="ListParagraph"/>
        <w:numPr>
          <w:ilvl w:val="0"/>
          <w:numId w:val="3"/>
        </w:numPr>
        <w:spacing w:after="80"/>
      </w:pPr>
      <w:r>
        <w:t xml:space="preserve">Autorizar la Fase 0 de higiene (Git, dependencias, unificación de acceso a datos) como primer bloque de trabajo, antes de tocar cualquier funcionalidad nueva.</w:t>
      </w:r>
    </w:p>
    <w:p>
      <w:pPr>
        <w:pStyle w:val="ListParagraph"/>
        <w:numPr>
          <w:ilvl w:val="0"/>
          <w:numId w:val="3"/>
        </w:numPr>
        <w:spacing w:after="80"/>
      </w:pPr>
      <w:r>
        <w:t xml:space="preserve">Confirmar el orden de fases de la Sección 7 o repriorizar según preferencia del usuario.</w:t>
      </w:r>
    </w:p>
    <w:p>
      <w:pPr>
        <w:pBdr>
          <w:left w:val="single" w:color="1E7A34" w:sz="12" w:space="8"/>
        </w:pBdr>
        <w:spacing w:after="200"/>
      </w:pPr>
      <w:r>
        <w:rPr>
          <w:i/>
          <w:iCs/>
          <w:color w:val="404040"/>
        </w:rPr>
        <w:t xml:space="preserve">No se ha modificado ningún archivo del proyecto durante esta auditoría. Este informe queda a la espera de aprobación antes de iniciar implementación.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Página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AITHERA V1 — Auditoría y Roadmap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E7C8C" w:sz="6" w:space="4"/>
      </w:pBdr>
      <w:spacing w:after="220" w:before="480"/>
      <w:outlineLvl w:val="0"/>
    </w:pPr>
    <w:rPr>
      <w:rFonts w:ascii="Arial" w:cs="Arial" w:eastAsia="Arial" w:hAnsi="Arial"/>
      <w:b/>
      <w:bCs/>
      <w:color w:val="0B1B2B"/>
      <w:sz w:val="34"/>
      <w:szCs w:val="34"/>
    </w:rPr>
  </w:style>
  <w:style w:type="paragraph" w:styleId="Heading2">
    <w:name w:val="Heading 2"/>
    <w:basedOn w:val="Normal"/>
    <w:next w:val="Normal"/>
    <w:qFormat/>
    <w:pPr>
      <w:spacing w:after="160" w:before="320"/>
      <w:outlineLvl w:val="1"/>
    </w:pPr>
    <w:rPr>
      <w:rFonts w:ascii="Arial" w:cs="Arial" w:eastAsia="Arial" w:hAnsi="Arial"/>
      <w:b/>
      <w:bCs/>
      <w:color w:val="0B1B2B"/>
      <w:sz w:val="27"/>
      <w:szCs w:val="27"/>
    </w:rPr>
  </w:style>
  <w:style w:type="paragraph" w:styleId="Heading3">
    <w:name w:val="Heading 3"/>
    <w:basedOn w:val="Normal"/>
    <w:next w:val="Normal"/>
    <w:qFormat/>
    <w:pPr>
      <w:spacing w:after="120" w:before="220"/>
      <w:outlineLvl w:val="2"/>
    </w:pPr>
    <w:rPr>
      <w:rFonts w:ascii="Arial" w:cs="Arial" w:eastAsia="Arial" w:hAnsi="Arial"/>
      <w:b/>
      <w:bCs/>
      <w:color w:val="0E7C8C"/>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2026-06-21T21:53:22.258Z</dcterms:created>
  <dcterms:modified xsi:type="dcterms:W3CDTF">2026-06-21T21:53:22.259Z</dcterms:modified>
</cp:coreProperties>
</file>

<file path=docProps/custom.xml><?xml version="1.0" encoding="utf-8"?>
<Properties xmlns="http://schemas.openxmlformats.org/officeDocument/2006/custom-properties" xmlns:vt="http://schemas.openxmlformats.org/officeDocument/2006/docPropsVTypes"/>
</file>