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Два</w:t>
      </w:r>
      <w:r>
        <w:t xml:space="preserve"> </w:t>
      </w:r>
      <w:r>
        <w:t xml:space="preserve">пользователя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p>
      <w:pPr>
        <w:pStyle w:val="CaptionedFigure"/>
      </w:pPr>
      <w:bookmarkStart w:id="24" w:name="fig:001"/>
      <w:r>
        <w:drawing>
          <wp:inline>
            <wp:extent cx="5334000" cy="2071137"/>
            <wp:effectExtent b="0" l="0" r="0" t="0"/>
            <wp:docPr descr="Figure 1: 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Добавление пользователей в группу</w:t>
      </w:r>
    </w:p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p>
      <w:pPr>
        <w:pStyle w:val="CaptionedFigure"/>
      </w:pPr>
      <w:bookmarkStart w:id="28" w:name="fig:002"/>
      <w:r>
        <w:drawing>
          <wp:inline>
            <wp:extent cx="5334000" cy="2405024"/>
            <wp:effectExtent b="0" l="0" r="0" t="0"/>
            <wp:docPr descr="Figure 2: 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2: Информация о пользователях</w:t>
      </w:r>
    </w:p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p>
      <w:pPr>
        <w:pStyle w:val="CaptionedFigure"/>
      </w:pPr>
      <w:bookmarkStart w:id="32" w:name="fig:003"/>
      <w:r>
        <w:drawing>
          <wp:inline>
            <wp:extent cx="4831882" cy="4456496"/>
            <wp:effectExtent b="0" l="0" r="0" t="0"/>
            <wp:docPr descr="Figure 3: 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445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3: Содержимое файла /etc/group и регистрация в группе</w:t>
      </w:r>
    </w:p>
    <w:p>
      <w:pPr>
        <w:numPr>
          <w:ilvl w:val="0"/>
          <w:numId w:val="1004"/>
        </w:numPr>
        <w:pStyle w:val="Compact"/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p>
      <w:pPr>
        <w:pStyle w:val="CaptionedFigure"/>
      </w:pPr>
      <w:bookmarkStart w:id="36" w:name="fig:004"/>
      <w:r>
        <w:drawing>
          <wp:inline>
            <wp:extent cx="5334000" cy="3404869"/>
            <wp:effectExtent b="0" l="0" r="0" t="0"/>
            <wp:docPr descr="Figure 4: 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4: Изменение прав у директории</w:t>
      </w:r>
    </w:p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p>
      <w:pPr>
        <w:pStyle w:val="CaptionedFigure"/>
      </w:pPr>
      <w:bookmarkStart w:id="40" w:name="fig:005"/>
      <w:r>
        <w:drawing>
          <wp:inline>
            <wp:extent cx="5334000" cy="3166131"/>
            <wp:effectExtent b="0" l="0" r="0" t="0"/>
            <wp:docPr descr="Figure 5: 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5: Заполнение таблицы</w:t>
      </w:r>
    </w:p>
    <w:p>
      <w:pPr>
        <w:pStyle w:val="BodyText"/>
      </w:pPr>
      <w:r>
        <w:t xml:space="preserve">Обозначения в таблице:</w:t>
      </w:r>
    </w:p>
    <w:p>
      <w:pPr>
        <w:numPr>
          <w:ilvl w:val="0"/>
          <w:numId w:val="1005"/>
        </w:numPr>
        <w:pStyle w:val="Compact"/>
      </w:pPr>
      <w:r>
        <w:t xml:space="preserve">Создание файла</w:t>
      </w:r>
    </w:p>
    <w:p>
      <w:pPr>
        <w:numPr>
          <w:ilvl w:val="0"/>
          <w:numId w:val="1005"/>
        </w:numPr>
        <w:pStyle w:val="Compact"/>
      </w:pPr>
      <w:r>
        <w:t xml:space="preserve">Удаление файла</w:t>
      </w:r>
    </w:p>
    <w:p>
      <w:pPr>
        <w:numPr>
          <w:ilvl w:val="0"/>
          <w:numId w:val="1005"/>
        </w:numPr>
        <w:pStyle w:val="Compact"/>
      </w:pPr>
      <w:r>
        <w:t xml:space="preserve">Запись в файл</w:t>
      </w:r>
    </w:p>
    <w:p>
      <w:pPr>
        <w:numPr>
          <w:ilvl w:val="0"/>
          <w:numId w:val="1005"/>
        </w:numPr>
        <w:pStyle w:val="Compact"/>
      </w:pPr>
      <w:r>
        <w:t xml:space="preserve">Чтение файла</w:t>
      </w:r>
    </w:p>
    <w:p>
      <w:pPr>
        <w:numPr>
          <w:ilvl w:val="0"/>
          <w:numId w:val="1005"/>
        </w:numPr>
        <w:pStyle w:val="Compact"/>
      </w:pPr>
      <w:r>
        <w:t xml:space="preserve">Смена директории</w:t>
      </w:r>
    </w:p>
    <w:p>
      <w:pPr>
        <w:numPr>
          <w:ilvl w:val="0"/>
          <w:numId w:val="1005"/>
        </w:numPr>
        <w:pStyle w:val="Compact"/>
      </w:pPr>
      <w:r>
        <w:t xml:space="preserve">Просмотр файлов в директории</w:t>
      </w:r>
    </w:p>
    <w:p>
      <w:pPr>
        <w:numPr>
          <w:ilvl w:val="0"/>
          <w:numId w:val="1005"/>
        </w:numPr>
        <w:pStyle w:val="Compact"/>
      </w:pPr>
      <w:r>
        <w:t xml:space="preserve">Переименование файл</w:t>
      </w:r>
    </w:p>
    <w:p>
      <w:pPr>
        <w:numPr>
          <w:ilvl w:val="0"/>
          <w:numId w:val="1005"/>
        </w:numPr>
        <w:pStyle w:val="Compact"/>
      </w:pPr>
      <w:r>
        <w:t xml:space="preserve">Смена атрибутов файла</w:t>
      </w:r>
    </w:p>
    <w:bookmarkStart w:id="41" w:name="tbl:rig-act"/>
    <w:p>
      <w:pPr>
        <w:pStyle w:val="TableCaption"/>
      </w:pPr>
      <w:r>
        <w:t xml:space="preserve">Table 1: Установленные права и разрешённые действия для групп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Table 1: Установленные права и разрешённые действия для групп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41"/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 2. Для заполнения последних двух строк опытным путем проверила минимальные права для создания и удаления поддиректории.</w:t>
      </w:r>
    </w:p>
    <w:bookmarkStart w:id="42" w:name="tbl:min-rig"/>
    <w:p>
      <w:pPr>
        <w:pStyle w:val="TableCaption"/>
      </w:pPr>
      <w:r>
        <w:t xml:space="preserve">Table 2: Минимальные права для совершения операций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Table 2: Минимальные права для совершения операций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2"/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4"/>
    <w:bookmarkStart w:id="4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45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numPr>
          <w:ilvl w:val="0"/>
          <w:numId w:val="1006"/>
        </w:numPr>
        <w:pStyle w:val="Compact"/>
      </w:pPr>
      <w:hyperlink r:id="rId46">
        <w:r>
          <w:rPr>
            <w:rStyle w:val="Hyperlink"/>
          </w:rPr>
          <w:t xml:space="preserve">Разрешения доступа к файлам</w:t>
        </w:r>
      </w:hyperlink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6" Target="https://linuxcommand.ru/razresheniya-dostupa-k-failam/" TargetMode="External" /><Relationship Type="http://schemas.openxmlformats.org/officeDocument/2006/relationships/hyperlink" Id="rId45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linuxcommand.ru/razresheniya-dostupa-k-failam/" TargetMode="External" /><Relationship Type="http://schemas.openxmlformats.org/officeDocument/2006/relationships/hyperlink" Id="rId45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Петров Артем Евгеньевич</dc:creator>
  <dc:language>ru-RU</dc:language>
  <cp:keywords/>
  <dcterms:created xsi:type="dcterms:W3CDTF">2025-12-16T15:25:15Z</dcterms:created>
  <dcterms:modified xsi:type="dcterms:W3CDTF">2025-12-16T15:25:15Z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">
    <vt:lpwstr>True</vt:lpwstr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mainfont">
    <vt:lpwstr>PT Serif</vt:lpwstr>
  </property>
  <property fmtid="{D5CDD505-2E9C-101B-9397-08002B2CF9AE}" pid="50" name="mainfontoptions">
    <vt:lpwstr>Ligatures=TeX</vt:lpwstr>
  </property>
  <property fmtid="{D5CDD505-2E9C-101B-9397-08002B2CF9AE}" pid="51" name="monofont">
    <vt:lpwstr>PT Mono</vt:lpwstr>
  </property>
  <property fmtid="{D5CDD505-2E9C-101B-9397-08002B2CF9AE}" pid="52" name="monofontoptions">
    <vt:lpwstr>Scale=MatchLowercase,Scale=0.9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PT Serif</vt:lpwstr>
  </property>
  <property fmtid="{D5CDD505-2E9C-101B-9397-08002B2CF9AE}" pid="63" name="romanfontoptions">
    <vt:lpwstr>Ligatures=TeX</vt:lpwstr>
  </property>
  <property fmtid="{D5CDD505-2E9C-101B-9397-08002B2CF9AE}" pid="64" name="sansfont">
    <vt:lpwstr>PT Sans</vt:lpwstr>
  </property>
  <property fmtid="{D5CDD505-2E9C-101B-9397-08002B2CF9AE}" pid="65" name="sansfontoptions">
    <vt:lpwstr>Ligatures=TeX,Scale=MatchLowercase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Дискреционное разграничение прав в Linux. Два пользователя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Table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title">
    <vt:lpwstr>Содержание</vt:lpwstr>
  </property>
  <property fmtid="{D5CDD505-2E9C-101B-9397-08002B2CF9AE}" pid="87" name="toc_depth">
    <vt:lpwstr>2</vt:lpwstr>
  </property>
</Properties>
</file>