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-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Hydra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Введение</w:t>
      </w:r>
    </w:p>
    <w:bookmarkStart w:id="23" w:name="брут-форс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Основные виды атак брут-форс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</w:t>
      </w:r>
      <w:r>
        <w:t xml:space="preserve">умные</w:t>
      </w:r>
      <w:r>
        <w:t xml:space="preserve">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Как защититься от атак брут-форс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Использование сложных паролей</w:t>
      </w:r>
    </w:p>
    <w:p>
      <w:pPr>
        <w:numPr>
          <w:ilvl w:val="1"/>
          <w:numId w:val="1006"/>
        </w:numPr>
        <w:pStyle w:val="Compact"/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Ограничение количества попыток ввода</w:t>
      </w:r>
    </w:p>
    <w:p>
      <w:pPr>
        <w:numPr>
          <w:ilvl w:val="1"/>
          <w:numId w:val="1007"/>
        </w:numPr>
        <w:pStyle w:val="Compact"/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Двухфакторная аутентификация (2FA)</w:t>
      </w:r>
    </w:p>
    <w:p>
      <w:pPr>
        <w:numPr>
          <w:ilvl w:val="1"/>
          <w:numId w:val="1008"/>
        </w:numPr>
        <w:pStyle w:val="Compact"/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Использование CAPTCHA</w:t>
      </w:r>
    </w:p>
    <w:p>
      <w:pPr>
        <w:numPr>
          <w:ilvl w:val="1"/>
          <w:numId w:val="1009"/>
        </w:numPr>
        <w:pStyle w:val="Compact"/>
      </w:pPr>
      <w:r>
        <w:t xml:space="preserve">Применение CAPTCHA усложняет автоматизацию процесса перебора паролей.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Мониторинг активности</w:t>
      </w:r>
    </w:p>
    <w:p>
      <w:pPr>
        <w:numPr>
          <w:ilvl w:val="1"/>
          <w:numId w:val="1010"/>
        </w:numPr>
        <w:pStyle w:val="Compact"/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Hydra</w:t>
      </w:r>
    </w:p>
    <w:p>
      <w:pPr>
        <w:pStyle w:val="FirstParagraph"/>
      </w:pPr>
      <w:r>
        <w:rPr>
          <w:bCs/>
          <w:b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Основные характеристики Hydra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numPr>
          <w:ilvl w:val="1"/>
          <w:numId w:val="1012"/>
        </w:numPr>
        <w:pStyle w:val="Compact"/>
      </w:pPr>
      <w:r>
        <w:t xml:space="preserve">SSH</w:t>
      </w:r>
    </w:p>
    <w:p>
      <w:pPr>
        <w:numPr>
          <w:ilvl w:val="1"/>
          <w:numId w:val="1012"/>
        </w:numPr>
        <w:pStyle w:val="Compact"/>
      </w:pPr>
      <w:r>
        <w:t xml:space="preserve">FTP</w:t>
      </w:r>
    </w:p>
    <w:p>
      <w:pPr>
        <w:numPr>
          <w:ilvl w:val="1"/>
          <w:numId w:val="1012"/>
        </w:numPr>
        <w:pStyle w:val="Compact"/>
      </w:pPr>
      <w:r>
        <w:t xml:space="preserve">HTTP/HTTPS</w:t>
      </w:r>
    </w:p>
    <w:p>
      <w:pPr>
        <w:numPr>
          <w:ilvl w:val="1"/>
          <w:numId w:val="1012"/>
        </w:numPr>
        <w:pStyle w:val="Compact"/>
      </w:pPr>
      <w:r>
        <w:t xml:space="preserve">Telnet</w:t>
      </w:r>
    </w:p>
    <w:p>
      <w:pPr>
        <w:numPr>
          <w:ilvl w:val="1"/>
          <w:numId w:val="1012"/>
        </w:numPr>
        <w:pStyle w:val="Compact"/>
      </w:pPr>
      <w:r>
        <w:t xml:space="preserve">RDP (Remote Desktop Protocol)</w:t>
      </w:r>
    </w:p>
    <w:p>
      <w:pPr>
        <w:numPr>
          <w:ilvl w:val="1"/>
          <w:numId w:val="1012"/>
        </w:numPr>
        <w:pStyle w:val="Compact"/>
      </w:pPr>
      <w:r>
        <w:t xml:space="preserve">POP3, IMAP</w:t>
      </w:r>
    </w:p>
    <w:p>
      <w:pPr>
        <w:numPr>
          <w:ilvl w:val="1"/>
          <w:numId w:val="1012"/>
        </w:numPr>
        <w:pStyle w:val="Compact"/>
      </w:pPr>
      <w:r>
        <w:t xml:space="preserve">MySQL, PostgreSQL, Oracle</w:t>
      </w:r>
    </w:p>
    <w:p>
      <w:pPr>
        <w:numPr>
          <w:ilvl w:val="1"/>
          <w:numId w:val="1012"/>
        </w:numPr>
        <w:pStyle w:val="Compact"/>
      </w:pPr>
      <w:r>
        <w:t xml:space="preserve">SMB (Windows Share)</w:t>
      </w:r>
    </w:p>
    <w:p>
      <w:pPr>
        <w:numPr>
          <w:ilvl w:val="1"/>
          <w:numId w:val="1012"/>
        </w:numPr>
        <w:pStyle w:val="Compact"/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Примеры использования Hydra</w:t>
      </w:r>
    </w:p>
    <w:p>
      <w:pPr>
        <w:numPr>
          <w:ilvl w:val="0"/>
          <w:numId w:val="1013"/>
        </w:numPr>
        <w:pStyle w:val="Compact"/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numPr>
          <w:ilvl w:val="0"/>
          <w:numId w:val="1015"/>
        </w:numPr>
        <w:pStyle w:val="Compact"/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p>
      <w:pPr>
        <w:pStyle w:val="CaptionedFigure"/>
      </w:pPr>
      <w:bookmarkStart w:id="31" w:name="fig:001"/>
      <w:r>
        <w:drawing>
          <wp:inline>
            <wp:extent cx="5334000" cy="2945027"/>
            <wp:effectExtent b="0" l="0" r="0" t="0"/>
            <wp:docPr descr="Figure 1: 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Страница веб-формы</w:t>
      </w:r>
    </w:p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p>
      <w:pPr>
        <w:pStyle w:val="CaptionedFigure"/>
      </w:pPr>
      <w:bookmarkStart w:id="35" w:name="fig:002"/>
      <w:r>
        <w:drawing>
          <wp:inline>
            <wp:extent cx="5334000" cy="2396319"/>
            <wp:effectExtent b="0" l="0" r="0" t="0"/>
            <wp:docPr descr="Figure 2: 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2: Заголовок запроса</w:t>
      </w:r>
    </w:p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</w:t>
      </w:r>
      <w:r>
        <w:t xml:space="preserve">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</w:t>
      </w:r>
      <w:r>
        <w:t xml:space="preserve">/DVWA/vulnerabilities/brute/</w:t>
      </w:r>
      <w:r>
        <w:t xml:space="preserve">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p>
      <w:pPr>
        <w:pStyle w:val="CaptionedFigure"/>
      </w:pPr>
      <w:bookmarkStart w:id="39" w:name="fig:003"/>
      <w:r>
        <w:drawing>
          <wp:inline>
            <wp:extent cx="5334000" cy="2155151"/>
            <wp:effectExtent b="0" l="0" r="0" t="0"/>
            <wp:docPr descr="Figure 3: 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3: Результат подбора</w:t>
      </w:r>
    </w:p>
    <w:bookmarkEnd w:id="40"/>
    <w:bookmarkStart w:id="41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Петров Артем Евгеньевич</dc:creator>
  <dc:language>ru-RU</dc:language>
  <cp:keywords/>
  <dcterms:created xsi:type="dcterms:W3CDTF">2025-12-16T15:26:34Z</dcterms:created>
  <dcterms:modified xsi:type="dcterms:W3CDTF">2025-12-16T15:26:34Z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Использование Hydra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