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  <w:r>
        <w:t xml:space="preserve"> </w:t>
      </w:r>
      <w:r>
        <w:t xml:space="preserve">-</w:t>
      </w:r>
      <w:r>
        <w:t xml:space="preserve"> </w:t>
      </w:r>
      <w:r>
        <w:t xml:space="preserve">этап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Использование</w:t>
      </w:r>
      <w:r>
        <w:t xml:space="preserve"> </w:t>
      </w:r>
      <w:r>
        <w:t xml:space="preserve">nikto</w:t>
      </w:r>
    </w:p>
    <w:p>
      <w:pPr>
        <w:pStyle w:val="Author"/>
      </w:pPr>
      <w:r>
        <w:t xml:space="preserve">Петров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Введение</w:t>
      </w:r>
    </w:p>
    <w:bookmarkStart w:id="21" w:name="nikto-описание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Nikto: Описание</w:t>
      </w:r>
    </w:p>
    <w:p>
      <w:pPr>
        <w:pStyle w:val="FirstParagraph"/>
      </w:pPr>
      <w:r>
        <w:rPr>
          <w:bCs/>
          <w:b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Сканирование localhost</w:t>
      </w:r>
    </w:p>
    <w:p>
      <w:pPr>
        <w:pStyle w:val="CaptionedFigure"/>
      </w:pPr>
      <w:bookmarkStart w:id="27" w:name="fig:001"/>
      <w:r>
        <w:drawing>
          <wp:inline>
            <wp:extent cx="5334000" cy="2011904"/>
            <wp:effectExtent b="0" l="0" r="0" t="0"/>
            <wp:docPr descr="Figure 1: 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Тестирование localhost</w:t>
      </w:r>
    </w:p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Сканирование localhost/dvwa/</w:t>
      </w:r>
    </w:p>
    <w:p>
      <w:pPr>
        <w:pStyle w:val="CaptionedFigure"/>
      </w:pPr>
      <w:bookmarkStart w:id="32" w:name="fig:002"/>
      <w:r>
        <w:drawing>
          <wp:inline>
            <wp:extent cx="5334000" cy="1717811"/>
            <wp:effectExtent b="0" l="0" r="0" t="0"/>
            <wp:docPr descr="Figure 2: 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 2: Тестирование localhost/dvwa/</w:t>
      </w:r>
    </w:p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Петров Артем Евгеньевич</dc:creator>
  <dc:language>ru-RU</dc:language>
  <cp:keywords/>
  <dcterms:created xsi:type="dcterms:W3CDTF">2025-12-16T15:26:43Z</dcterms:created>
  <dcterms:modified xsi:type="dcterms:W3CDTF">2025-12-16T15:26:43Z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a4paper</vt:lpwstr>
  </property>
  <property fmtid="{D5CDD505-2E9C-101B-9397-08002B2CF9AE}" pid="51" name="pdf-engine">
    <vt:lpwstr>lualatex</vt:lpwstr>
  </property>
  <property fmtid="{D5CDD505-2E9C-101B-9397-08002B2CF9AE}" pid="52" name="polyglossia-lang">
    <vt:lpwstr>russian</vt:lpwstr>
  </property>
  <property fmtid="{D5CDD505-2E9C-101B-9397-08002B2CF9AE}" pid="53" name="polyglossia-otherlangs">
    <vt:lpwstr>english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romanfont">
    <vt:lpwstr>PT Serif</vt:lpwstr>
  </property>
  <property fmtid="{D5CDD505-2E9C-101B-9397-08002B2CF9AE}" pid="58" name="romanfontoptions">
    <vt:lpwstr>Ligatures=TeX</vt:lpwstr>
  </property>
  <property fmtid="{D5CDD505-2E9C-101B-9397-08002B2CF9AE}" pid="59" name="sansfont">
    <vt:lpwstr>PT Sans</vt:lpwstr>
  </property>
  <property fmtid="{D5CDD505-2E9C-101B-9397-08002B2CF9AE}" pid="60" name="sansfontoptions">
    <vt:lpwstr>Ligatures=TeX,Scale=MatchLowercase</vt:lpwstr>
  </property>
  <property fmtid="{D5CDD505-2E9C-101B-9397-08002B2CF9AE}" pid="61" name="secHeaderDelim">
    <vt:lpwstr> </vt:lpwstr>
  </property>
  <property fmtid="{D5CDD505-2E9C-101B-9397-08002B2CF9AE}" pid="62" name="secHeaderTemplate">
    <vt:lpwstr>isecHeaderDelim[n]t</vt:lpwstr>
  </property>
  <property fmtid="{D5CDD505-2E9C-101B-9397-08002B2CF9AE}" pid="63" name="secLabels">
    <vt:lpwstr>arabic</vt:lpwstr>
  </property>
  <property fmtid="{D5CDD505-2E9C-101B-9397-08002B2CF9AE}" pid="64" name="secPrefix">
    <vt:lpwstr/>
  </property>
  <property fmtid="{D5CDD505-2E9C-101B-9397-08002B2CF9AE}" pid="65" name="secPrefixTemplate">
    <vt:lpwstr>p i</vt:lpwstr>
  </property>
  <property fmtid="{D5CDD505-2E9C-101B-9397-08002B2CF9AE}" pid="66" name="sectionsDepth">
    <vt:lpwstr>0</vt:lpwstr>
  </property>
  <property fmtid="{D5CDD505-2E9C-101B-9397-08002B2CF9AE}" pid="67" name="subfigGrid">
    <vt:lpwstr>False</vt:lpwstr>
  </property>
  <property fmtid="{D5CDD505-2E9C-101B-9397-08002B2CF9AE}" pid="68" name="subfigLabels">
    <vt:lpwstr>alpha a</vt:lpwstr>
  </property>
  <property fmtid="{D5CDD505-2E9C-101B-9397-08002B2CF9AE}" pid="69" name="subfigureChildTemplate">
    <vt:lpwstr>i</vt:lpwstr>
  </property>
  <property fmtid="{D5CDD505-2E9C-101B-9397-08002B2CF9AE}" pid="70" name="subfigureRefIndexTemplate">
    <vt:lpwstr>isuf (s)</vt:lpwstr>
  </property>
  <property fmtid="{D5CDD505-2E9C-101B-9397-08002B2CF9AE}" pid="71" name="subfigureTemplate">
    <vt:lpwstr>figureTitle ititleDelim t. ccs</vt:lpwstr>
  </property>
  <property fmtid="{D5CDD505-2E9C-101B-9397-08002B2CF9AE}" pid="72" name="subtitle">
    <vt:lpwstr>Использование nikto</vt:lpwstr>
  </property>
  <property fmtid="{D5CDD505-2E9C-101B-9397-08002B2CF9AE}" pid="73" name="tableEqns">
    <vt:lpwstr>False</vt:lpwstr>
  </property>
  <property fmtid="{D5CDD505-2E9C-101B-9397-08002B2CF9AE}" pid="74" name="tableTemplate">
    <vt:lpwstr>tableTitle ititleDelim t</vt:lpwstr>
  </property>
  <property fmtid="{D5CDD505-2E9C-101B-9397-08002B2CF9AE}" pid="75" name="tableTitle">
    <vt:lpwstr>Table</vt:lpwstr>
  </property>
  <property fmtid="{D5CDD505-2E9C-101B-9397-08002B2CF9AE}" pid="76" name="tblLabels">
    <vt:lpwstr>arabic</vt:lpwstr>
  </property>
  <property fmtid="{D5CDD505-2E9C-101B-9397-08002B2CF9AE}" pid="77" name="tblPrefix">
    <vt:lpwstr/>
  </property>
  <property fmtid="{D5CDD505-2E9C-101B-9397-08002B2CF9AE}" pid="78" name="tblPrefixTemplate">
    <vt:lpwstr>p i</vt:lpwstr>
  </property>
  <property fmtid="{D5CDD505-2E9C-101B-9397-08002B2CF9AE}" pid="79" name="titleDelim">
    <vt:lpwstr>:</vt:lpwstr>
  </property>
  <property fmtid="{D5CDD505-2E9C-101B-9397-08002B2CF9AE}" pid="80" name="toc">
    <vt:lpwstr>True</vt:lpwstr>
  </property>
  <property fmtid="{D5CDD505-2E9C-101B-9397-08002B2CF9AE}" pid="81" name="toc-title">
    <vt:lpwstr>Содержание</vt:lpwstr>
  </property>
  <property fmtid="{D5CDD505-2E9C-101B-9397-08002B2CF9AE}" pid="82" name="toc_depth">
    <vt:lpwstr>2</vt:lpwstr>
  </property>
</Properties>
</file>