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</w:t>
      </w:r>
      <w:r>
        <w:t xml:space="preserve"> </w:t>
      </w:r>
      <w:r>
        <w:t xml:space="preserve">проект</w:t>
      </w:r>
      <w:r>
        <w:t xml:space="preserve"> </w:t>
      </w:r>
      <w:r>
        <w:t xml:space="preserve">-</w:t>
      </w:r>
      <w:r>
        <w:t xml:space="preserve"> </w:t>
      </w:r>
      <w:r>
        <w:t xml:space="preserve">этап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Использование</w:t>
      </w:r>
      <w:r>
        <w:t xml:space="preserve"> </w:t>
      </w:r>
      <w:r>
        <w:t xml:space="preserve">BurpSuite</w:t>
      </w:r>
    </w:p>
    <w:p>
      <w:pPr>
        <w:pStyle w:val="Author"/>
      </w:pPr>
      <w:r>
        <w:t xml:space="preserve">Петров</w:t>
      </w:r>
      <w:r>
        <w:t xml:space="preserve"> </w:t>
      </w:r>
      <w:r>
        <w:t xml:space="preserve">Артем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Введение</w:t>
      </w:r>
    </w:p>
    <w:bookmarkStart w:id="22" w:name="burp-suit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Burp Suite</w:t>
      </w:r>
    </w:p>
    <w:p>
      <w:pPr>
        <w:pStyle w:val="FirstParagraph"/>
      </w:pPr>
      <w:r>
        <w:rPr>
          <w:bCs/>
          <w:b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numPr>
          <w:ilvl w:val="0"/>
          <w:numId w:val="1001"/>
        </w:numPr>
        <w:pStyle w:val="Compact"/>
      </w:pPr>
      <w:r>
        <w:t xml:space="preserve">Поиска и анализа уязвимостей веб-приложений.</w:t>
      </w:r>
    </w:p>
    <w:p>
      <w:pPr>
        <w:numPr>
          <w:ilvl w:val="0"/>
          <w:numId w:val="1001"/>
        </w:numPr>
        <w:pStyle w:val="Compact"/>
      </w:pPr>
      <w:r>
        <w:t xml:space="preserve">Перехвата и анализа сетевого трафика.</w:t>
      </w:r>
    </w:p>
    <w:p>
      <w:pPr>
        <w:numPr>
          <w:ilvl w:val="0"/>
          <w:numId w:val="1001"/>
        </w:numPr>
        <w:pStyle w:val="Compact"/>
      </w:pPr>
      <w:r>
        <w:t xml:space="preserve">Автоматизации атак на веб-приложения.</w:t>
      </w:r>
    </w:p>
    <w:p>
      <w:pPr>
        <w:numPr>
          <w:ilvl w:val="0"/>
          <w:numId w:val="1001"/>
        </w:numPr>
        <w:pStyle w:val="Compact"/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Основные компоненты Burp Suite: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Burp Proxy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Особенности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Возможность изменять заголовки, куки и тело запроса.</w:t>
      </w:r>
    </w:p>
    <w:p>
      <w:pPr>
        <w:numPr>
          <w:ilvl w:val="1"/>
          <w:numId w:val="1005"/>
        </w:numPr>
        <w:pStyle w:val="Compact"/>
      </w:pPr>
      <w:r>
        <w:t xml:space="preserve">Возможность настроить фильтрацию перехватываемых данных.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Burp Spider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Особенности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Автоматическая карта сайта.</w:t>
      </w:r>
    </w:p>
    <w:p>
      <w:pPr>
        <w:numPr>
          <w:ilvl w:val="1"/>
          <w:numId w:val="1008"/>
        </w:numPr>
        <w:pStyle w:val="Compact"/>
      </w:pPr>
      <w:r>
        <w:t xml:space="preserve">Возможность обнаружить страницы, не видимые для обычных пользователей.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Burp Scanner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Особенности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Гибкая настройка уровня агрессивности сканирования.</w:t>
      </w:r>
    </w:p>
    <w:p>
      <w:pPr>
        <w:numPr>
          <w:ilvl w:val="1"/>
          <w:numId w:val="1011"/>
        </w:numPr>
        <w:pStyle w:val="Compact"/>
      </w:pPr>
      <w:r>
        <w:t xml:space="preserve">Детализированные отчеты с описанием уязвимостей.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Intruder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Особенности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Возможность гибко задавать параметры перебора.</w:t>
      </w:r>
    </w:p>
    <w:p>
      <w:pPr>
        <w:numPr>
          <w:ilvl w:val="1"/>
          <w:numId w:val="1014"/>
        </w:numPr>
        <w:pStyle w:val="Compact"/>
      </w:pPr>
      <w:r>
        <w:t xml:space="preserve">Быстрая обработка большого количества запросов.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Repeater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Особенности</w:t>
      </w:r>
      <w:r>
        <w:t xml:space="preserve">:</w:t>
      </w:r>
    </w:p>
    <w:p>
      <w:pPr>
        <w:numPr>
          <w:ilvl w:val="1"/>
          <w:numId w:val="1017"/>
        </w:numPr>
        <w:pStyle w:val="Compact"/>
      </w:pPr>
      <w:r>
        <w:t xml:space="preserve">Полный контроль над запросом и ответом.</w:t>
      </w:r>
    </w:p>
    <w:p>
      <w:pPr>
        <w:numPr>
          <w:ilvl w:val="1"/>
          <w:numId w:val="1017"/>
        </w:numPr>
        <w:pStyle w:val="Compact"/>
      </w:pPr>
      <w:r>
        <w:t xml:space="preserve">Удобная вкладочная система для многозадачности.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Sequencer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Особенности</w:t>
      </w:r>
      <w:r>
        <w:t xml:space="preserve">:</w:t>
      </w:r>
    </w:p>
    <w:p>
      <w:pPr>
        <w:numPr>
          <w:ilvl w:val="1"/>
          <w:numId w:val="1020"/>
        </w:numPr>
        <w:pStyle w:val="Compact"/>
      </w:pPr>
      <w:r>
        <w:t xml:space="preserve">Поддержка различных алгоритмов анализа случайности.</w:t>
      </w:r>
    </w:p>
    <w:p>
      <w:pPr>
        <w:numPr>
          <w:ilvl w:val="1"/>
          <w:numId w:val="1020"/>
        </w:numPr>
        <w:pStyle w:val="Compact"/>
      </w:pPr>
      <w:r>
        <w:t xml:space="preserve">Подробные графики и метрики для оценки энтропии.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Decoder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Особенности</w:t>
      </w:r>
      <w:r>
        <w:t xml:space="preserve">:</w:t>
      </w:r>
    </w:p>
    <w:p>
      <w:pPr>
        <w:numPr>
          <w:ilvl w:val="1"/>
          <w:numId w:val="1023"/>
        </w:numPr>
        <w:pStyle w:val="Compact"/>
      </w:pPr>
      <w:r>
        <w:t xml:space="preserve">Поддержка различных типов кодировок.</w:t>
      </w:r>
    </w:p>
    <w:p>
      <w:pPr>
        <w:numPr>
          <w:ilvl w:val="1"/>
          <w:numId w:val="1023"/>
        </w:numPr>
        <w:pStyle w:val="Compact"/>
      </w:pPr>
      <w:r>
        <w:t xml:space="preserve">Возможность ручного редактирования и декодирования данных.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Comparer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Особенности</w:t>
      </w:r>
      <w:r>
        <w:t xml:space="preserve">:</w:t>
      </w:r>
    </w:p>
    <w:p>
      <w:pPr>
        <w:numPr>
          <w:ilvl w:val="1"/>
          <w:numId w:val="1026"/>
        </w:numPr>
        <w:pStyle w:val="Compact"/>
      </w:pPr>
      <w:r>
        <w:t xml:space="preserve">Визуальный интерфейс для удобного сравнения.</w:t>
      </w:r>
    </w:p>
    <w:p>
      <w:pPr>
        <w:numPr>
          <w:ilvl w:val="1"/>
          <w:numId w:val="1026"/>
        </w:numPr>
        <w:pStyle w:val="Compact"/>
      </w:pPr>
      <w:r>
        <w:t xml:space="preserve">Поддержка различных типов данных для сравнения.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Extender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Особенности</w:t>
      </w:r>
      <w:r>
        <w:t xml:space="preserve">:</w:t>
      </w:r>
    </w:p>
    <w:p>
      <w:pPr>
        <w:numPr>
          <w:ilvl w:val="1"/>
          <w:numId w:val="1029"/>
        </w:numPr>
        <w:pStyle w:val="Compact"/>
      </w:pPr>
      <w:r>
        <w:t xml:space="preserve">Поддержка языка программирования Java и Python (с использованием Jython).</w:t>
      </w:r>
    </w:p>
    <w:p>
      <w:pPr>
        <w:numPr>
          <w:ilvl w:val="1"/>
          <w:numId w:val="1029"/>
        </w:numPr>
        <w:pStyle w:val="Compact"/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SQL Инъекции</w:t>
      </w:r>
    </w:p>
    <w:p>
      <w:pPr>
        <w:pStyle w:val="FirstParagraph"/>
      </w:pPr>
      <w:r>
        <w:rPr>
          <w:bCs/>
          <w:b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Неуправляемые SQL-инъекции</w:t>
      </w:r>
      <w:r>
        <w:t xml:space="preserve">:</w:t>
      </w:r>
    </w:p>
    <w:p>
      <w:pPr>
        <w:numPr>
          <w:ilvl w:val="1"/>
          <w:numId w:val="1032"/>
        </w:numPr>
        <w:pStyle w:val="Compact"/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Управляемые SQL-инъекции</w:t>
      </w:r>
      <w:r>
        <w:t xml:space="preserve">:</w:t>
      </w:r>
    </w:p>
    <w:p>
      <w:pPr>
        <w:numPr>
          <w:ilvl w:val="1"/>
          <w:numId w:val="1033"/>
        </w:numPr>
        <w:pStyle w:val="Compact"/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Blind SQL Injection</w:t>
      </w:r>
      <w:r>
        <w:t xml:space="preserve">:</w:t>
      </w:r>
    </w:p>
    <w:p>
      <w:pPr>
        <w:numPr>
          <w:ilvl w:val="1"/>
          <w:numId w:val="1034"/>
        </w:numPr>
        <w:pStyle w:val="Compact"/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</w:t>
      </w:r>
      <w:r>
        <w:t xml:space="preserve">да</w:t>
      </w:r>
      <w:r>
        <w:t xml:space="preserve">”</w:t>
      </w:r>
      <w:r>
        <w:t xml:space="preserve"> </w:t>
      </w:r>
      <w:r>
        <w:t xml:space="preserve">или</w:t>
      </w:r>
      <w:r>
        <w:t xml:space="preserve"> </w:t>
      </w:r>
      <w:r>
        <w:t xml:space="preserve">“</w:t>
      </w:r>
      <w:r>
        <w:t xml:space="preserve">нет</w:t>
      </w:r>
      <w:r>
        <w:t xml:space="preserve">”</w:t>
      </w:r>
      <w:r>
        <w:t xml:space="preserve">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Out-of-Band SQL Injection</w:t>
      </w:r>
      <w:r>
        <w:t xml:space="preserve">:</w:t>
      </w:r>
    </w:p>
    <w:p>
      <w:pPr>
        <w:numPr>
          <w:ilvl w:val="1"/>
          <w:numId w:val="1035"/>
        </w:numPr>
        <w:pStyle w:val="Compact"/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Использование подготовленных выражений</w:t>
      </w:r>
      <w:r>
        <w:t xml:space="preserve">:</w:t>
      </w:r>
    </w:p>
    <w:p>
      <w:pPr>
        <w:numPr>
          <w:ilvl w:val="1"/>
          <w:numId w:val="1038"/>
        </w:numPr>
        <w:pStyle w:val="Compact"/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Валидация и очистка ввода</w:t>
      </w:r>
      <w:r>
        <w:t xml:space="preserve">:</w:t>
      </w:r>
    </w:p>
    <w:p>
      <w:pPr>
        <w:numPr>
          <w:ilvl w:val="1"/>
          <w:numId w:val="1039"/>
        </w:numPr>
        <w:pStyle w:val="Compact"/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Ограничение привилегий</w:t>
      </w:r>
      <w:r>
        <w:t xml:space="preserve">:</w:t>
      </w:r>
    </w:p>
    <w:p>
      <w:pPr>
        <w:numPr>
          <w:ilvl w:val="1"/>
          <w:numId w:val="1040"/>
        </w:numPr>
        <w:pStyle w:val="Compact"/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Регулярные обновления и патчи</w:t>
      </w:r>
      <w:r>
        <w:t xml:space="preserve">:</w:t>
      </w:r>
    </w:p>
    <w:p>
      <w:pPr>
        <w:numPr>
          <w:ilvl w:val="1"/>
          <w:numId w:val="1041"/>
        </w:numPr>
        <w:pStyle w:val="Compact"/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Использование веб-файрволов</w:t>
      </w:r>
      <w:r>
        <w:t xml:space="preserve">:</w:t>
      </w:r>
    </w:p>
    <w:p>
      <w:pPr>
        <w:numPr>
          <w:ilvl w:val="1"/>
          <w:numId w:val="1042"/>
        </w:numPr>
        <w:pStyle w:val="Compact"/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p>
      <w:pPr>
        <w:pStyle w:val="CaptionedFigure"/>
      </w:pPr>
      <w:bookmarkStart w:id="28" w:name="fig:001"/>
      <w:r>
        <w:drawing>
          <wp:inline>
            <wp:extent cx="5334000" cy="2281019"/>
            <wp:effectExtent b="0" l="0" r="0" t="0"/>
            <wp:docPr descr="Figure 1: 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1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Figure 1: Перехваченные данные</w:t>
      </w:r>
    </w:p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p>
      <w:pPr>
        <w:pStyle w:val="CaptionedFigure"/>
      </w:pPr>
      <w:bookmarkStart w:id="32" w:name="fig:002"/>
      <w:r>
        <w:drawing>
          <wp:inline>
            <wp:extent cx="5334000" cy="1756255"/>
            <wp:effectExtent b="0" l="0" r="0" t="0"/>
            <wp:docPr descr="Figure 2: 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6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Figure 2: Подмена запроса</w:t>
      </w:r>
    </w:p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p>
      <w:pPr>
        <w:pStyle w:val="CaptionedFigure"/>
      </w:pPr>
      <w:bookmarkStart w:id="36" w:name="fig:003"/>
      <w:r>
        <w:drawing>
          <wp:inline>
            <wp:extent cx="5334000" cy="3057035"/>
            <wp:effectExtent b="0" l="0" r="0" t="0"/>
            <wp:docPr descr="Figure 3: 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7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Figure 3: Реакция на подмену</w:t>
      </w:r>
    </w:p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p>
      <w:pPr>
        <w:pStyle w:val="CaptionedFigure"/>
      </w:pPr>
      <w:bookmarkStart w:id="40" w:name="fig:004"/>
      <w:r>
        <w:drawing>
          <wp:inline>
            <wp:extent cx="5334000" cy="1800774"/>
            <wp:effectExtent b="0" l="0" r="0" t="0"/>
            <wp:docPr descr="Figure 4: 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Figure 4: Подмена запроса</w:t>
      </w:r>
    </w:p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p>
      <w:pPr>
        <w:pStyle w:val="CaptionedFigure"/>
      </w:pPr>
      <w:bookmarkStart w:id="44" w:name="fig:005"/>
      <w:r>
        <w:drawing>
          <wp:inline>
            <wp:extent cx="5334000" cy="5364567"/>
            <wp:effectExtent b="0" l="0" r="0" t="0"/>
            <wp:docPr descr="Figure 5: 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64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Figure 5: Реакция на подмену</w:t>
      </w:r>
    </w:p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p>
      <w:pPr>
        <w:pStyle w:val="CaptionedFigure"/>
      </w:pPr>
      <w:bookmarkStart w:id="48" w:name="fig:006"/>
      <w:r>
        <w:drawing>
          <wp:inline>
            <wp:extent cx="5334000" cy="1896533"/>
            <wp:effectExtent b="0" l="0" r="0" t="0"/>
            <wp:docPr descr="Figure 6: 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6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Figure 6: Подмена запроса</w:t>
      </w:r>
    </w:p>
    <w:p>
      <w:pPr>
        <w:pStyle w:val="CaptionedFigure"/>
      </w:pPr>
      <w:bookmarkStart w:id="52" w:name="fig:007"/>
      <w:r>
        <w:drawing>
          <wp:inline>
            <wp:extent cx="5334000" cy="3868167"/>
            <wp:effectExtent b="0" l="0" r="0" t="0"/>
            <wp:docPr descr="Figure 7: 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8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Figure 7: Реакция на подмену</w:t>
      </w:r>
    </w:p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Петров Артем Евгеньевич</dc:creator>
  <dc:language>ru-RU</dc:language>
  <cp:keywords/>
  <dcterms:created xsi:type="dcterms:W3CDTF">2025-12-16T15:26:53Z</dcterms:created>
  <dcterms:modified xsi:type="dcterms:W3CDTF">2025-12-16T15:26:53Z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ureTemplate">
    <vt:lpwstr>figureTitle ititleDelim t</vt:lpwstr>
  </property>
  <property fmtid="{D5CDD505-2E9C-101B-9397-08002B2CF9AE}" pid="26" name="figureTitle">
    <vt:lpwstr>Figure</vt:lpwstr>
  </property>
  <property fmtid="{D5CDD505-2E9C-101B-9397-08002B2CF9AE}" pid="27" name="fontsize">
    <vt:lpwstr>12pt</vt:lpwstr>
  </property>
  <property fmtid="{D5CDD505-2E9C-101B-9397-08002B2CF9AE}" pid="28" name="header-includes">
    <vt:lpwstr/>
  </property>
  <property fmtid="{D5CDD505-2E9C-101B-9397-08002B2CF9AE}" pid="29" name="indent">
    <vt:lpwstr>True</vt:lpwstr>
  </property>
  <property fmtid="{D5CDD505-2E9C-101B-9397-08002B2CF9AE}" pid="30" name="lastDelim">
    <vt:lpwstr>, </vt:lpwstr>
  </property>
  <property fmtid="{D5CDD505-2E9C-101B-9397-08002B2CF9AE}" pid="31" name="linestretch">
    <vt:lpwstr>1.5</vt:lpwstr>
  </property>
  <property fmtid="{D5CDD505-2E9C-101B-9397-08002B2CF9AE}" pid="32" name="linkReferences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">
    <vt:lpwstr>True</vt:lpwstr>
  </property>
  <property fmtid="{D5CDD505-2E9C-101B-9397-08002B2CF9AE}" pid="37" name="lofTitle">
    <vt:lpwstr>List of Figures</vt:lpwstr>
  </property>
  <property fmtid="{D5CDD505-2E9C-101B-9397-08002B2CF9AE}" pid="38" name="lolTitle">
    <vt:lpwstr>List of Listings</vt:lpwstr>
  </property>
  <property fmtid="{D5CDD505-2E9C-101B-9397-08002B2CF9AE}" pid="39" name="lotTitle">
    <vt:lpwstr>List of Tables</vt:lpwstr>
  </property>
  <property fmtid="{D5CDD505-2E9C-101B-9397-08002B2CF9AE}" pid="40" name="lstLabels">
    <vt:lpwstr>arabic</vt:lpwstr>
  </property>
  <property fmtid="{D5CDD505-2E9C-101B-9397-08002B2CF9AE}" pid="41" name="lstPrefix">
    <vt:lpwstr/>
  </property>
  <property fmtid="{D5CDD505-2E9C-101B-9397-08002B2CF9AE}" pid="42" name="lstPrefixTemplate">
    <vt:lpwstr>p i</vt:lpwstr>
  </property>
  <property fmtid="{D5CDD505-2E9C-101B-9397-08002B2CF9AE}" pid="43" name="mainfont">
    <vt:lpwstr>PT Serif</vt:lpwstr>
  </property>
  <property fmtid="{D5CDD505-2E9C-101B-9397-08002B2CF9AE}" pid="44" name="mainfontoptions">
    <vt:lpwstr>Ligatures=TeX</vt:lpwstr>
  </property>
  <property fmtid="{D5CDD505-2E9C-101B-9397-08002B2CF9AE}" pid="45" name="monofont">
    <vt:lpwstr>PT Mono</vt:lpwstr>
  </property>
  <property fmtid="{D5CDD505-2E9C-101B-9397-08002B2CF9AE}" pid="46" name="monofontoptions">
    <vt:lpwstr>Scale=MatchLowercase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papersize">
    <vt:lpwstr>a4paper</vt:lpwstr>
  </property>
  <property fmtid="{D5CDD505-2E9C-101B-9397-08002B2CF9AE}" pid="51" name="pdf-engine">
    <vt:lpwstr>lualatex</vt:lpwstr>
  </property>
  <property fmtid="{D5CDD505-2E9C-101B-9397-08002B2CF9AE}" pid="52" name="polyglossia-lang">
    <vt:lpwstr>russian</vt:lpwstr>
  </property>
  <property fmtid="{D5CDD505-2E9C-101B-9397-08002B2CF9AE}" pid="53" name="polyglossia-otherlangs">
    <vt:lpwstr>english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romanfont">
    <vt:lpwstr>PT Serif</vt:lpwstr>
  </property>
  <property fmtid="{D5CDD505-2E9C-101B-9397-08002B2CF9AE}" pid="58" name="romanfontoptions">
    <vt:lpwstr>Ligatures=TeX</vt:lpwstr>
  </property>
  <property fmtid="{D5CDD505-2E9C-101B-9397-08002B2CF9AE}" pid="59" name="sansfont">
    <vt:lpwstr>PT Sans</vt:lpwstr>
  </property>
  <property fmtid="{D5CDD505-2E9C-101B-9397-08002B2CF9AE}" pid="60" name="sansfontoptions">
    <vt:lpwstr>Ligatures=TeX,Scale=MatchLowercase</vt:lpwstr>
  </property>
  <property fmtid="{D5CDD505-2E9C-101B-9397-08002B2CF9AE}" pid="61" name="secHeaderDelim">
    <vt:lpwstr> </vt:lpwstr>
  </property>
  <property fmtid="{D5CDD505-2E9C-101B-9397-08002B2CF9AE}" pid="62" name="secHeaderTemplate">
    <vt:lpwstr>isecHeaderDelim[n]t</vt:lpwstr>
  </property>
  <property fmtid="{D5CDD505-2E9C-101B-9397-08002B2CF9AE}" pid="63" name="secLabels">
    <vt:lpwstr>arabic</vt:lpwstr>
  </property>
  <property fmtid="{D5CDD505-2E9C-101B-9397-08002B2CF9AE}" pid="64" name="secPrefix">
    <vt:lpwstr/>
  </property>
  <property fmtid="{D5CDD505-2E9C-101B-9397-08002B2CF9AE}" pid="65" name="secPrefixTemplate">
    <vt:lpwstr>p i</vt:lpwstr>
  </property>
  <property fmtid="{D5CDD505-2E9C-101B-9397-08002B2CF9AE}" pid="66" name="sectionsDepth">
    <vt:lpwstr>0</vt:lpwstr>
  </property>
  <property fmtid="{D5CDD505-2E9C-101B-9397-08002B2CF9AE}" pid="67" name="subfigGrid">
    <vt:lpwstr>False</vt:lpwstr>
  </property>
  <property fmtid="{D5CDD505-2E9C-101B-9397-08002B2CF9AE}" pid="68" name="subfigLabels">
    <vt:lpwstr>alpha a</vt:lpwstr>
  </property>
  <property fmtid="{D5CDD505-2E9C-101B-9397-08002B2CF9AE}" pid="69" name="subfigureChildTemplate">
    <vt:lpwstr>i</vt:lpwstr>
  </property>
  <property fmtid="{D5CDD505-2E9C-101B-9397-08002B2CF9AE}" pid="70" name="subfigureRefIndexTemplate">
    <vt:lpwstr>isuf (s)</vt:lpwstr>
  </property>
  <property fmtid="{D5CDD505-2E9C-101B-9397-08002B2CF9AE}" pid="71" name="subfigureTemplate">
    <vt:lpwstr>figureTitle ititleDelim t. ccs</vt:lpwstr>
  </property>
  <property fmtid="{D5CDD505-2E9C-101B-9397-08002B2CF9AE}" pid="72" name="subtitle">
    <vt:lpwstr>Использование BurpSuite</vt:lpwstr>
  </property>
  <property fmtid="{D5CDD505-2E9C-101B-9397-08002B2CF9AE}" pid="73" name="tableEqns">
    <vt:lpwstr>False</vt:lpwstr>
  </property>
  <property fmtid="{D5CDD505-2E9C-101B-9397-08002B2CF9AE}" pid="74" name="tableTemplate">
    <vt:lpwstr>tableTitle ititleDelim t</vt:lpwstr>
  </property>
  <property fmtid="{D5CDD505-2E9C-101B-9397-08002B2CF9AE}" pid="75" name="tableTitle">
    <vt:lpwstr>Table</vt:lpwstr>
  </property>
  <property fmtid="{D5CDD505-2E9C-101B-9397-08002B2CF9AE}" pid="76" name="tblLabels">
    <vt:lpwstr>arabic</vt:lpwstr>
  </property>
  <property fmtid="{D5CDD505-2E9C-101B-9397-08002B2CF9AE}" pid="77" name="tblPrefix">
    <vt:lpwstr/>
  </property>
  <property fmtid="{D5CDD505-2E9C-101B-9397-08002B2CF9AE}" pid="78" name="tblPrefixTemplate">
    <vt:lpwstr>p i</vt:lpwstr>
  </property>
  <property fmtid="{D5CDD505-2E9C-101B-9397-08002B2CF9AE}" pid="79" name="titleDelim">
    <vt:lpwstr>:</vt:lpwstr>
  </property>
  <property fmtid="{D5CDD505-2E9C-101B-9397-08002B2CF9AE}" pid="80" name="toc">
    <vt:lpwstr>True</vt:lpwstr>
  </property>
  <property fmtid="{D5CDD505-2E9C-101B-9397-08002B2CF9AE}" pid="81" name="toc-title">
    <vt:lpwstr>Содержание</vt:lpwstr>
  </property>
  <property fmtid="{D5CDD505-2E9C-101B-9397-08002B2CF9AE}" pid="82" name="toc_depth">
    <vt:lpwstr>2</vt:lpwstr>
  </property>
</Properties>
</file>