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Дискреционное</w:t>
      </w:r>
      <w:r>
        <w:t xml:space="preserve"> </w:t>
      </w:r>
      <w:r>
        <w:t xml:space="preserve">разграничение</w:t>
      </w:r>
      <w:r>
        <w:t xml:space="preserve"> </w:t>
      </w:r>
      <w:r>
        <w:t xml:space="preserve">прав</w:t>
      </w:r>
      <w:r>
        <w:t xml:space="preserve"> </w:t>
      </w:r>
      <w:r>
        <w:t xml:space="preserve">в</w:t>
      </w:r>
      <w:r>
        <w:t xml:space="preserve"> </w:t>
      </w:r>
      <w:r>
        <w:t xml:space="preserve">Linux.</w:t>
      </w:r>
      <w:r>
        <w:t xml:space="preserve"> </w:t>
      </w:r>
      <w:r>
        <w:t xml:space="preserve">Основные</w:t>
      </w:r>
      <w:r>
        <w:t xml:space="preserve"> </w:t>
      </w:r>
      <w:r>
        <w:t xml:space="preserve">атрибуты</w:t>
      </w:r>
    </w:p>
    <w:p>
      <w:pPr>
        <w:pStyle w:val="Author"/>
      </w:pPr>
      <w:r>
        <w:t xml:space="preserve">Петров</w:t>
      </w:r>
      <w:r>
        <w:t xml:space="preserve"> </w:t>
      </w:r>
      <w:r>
        <w:t xml:space="preserve">Артем</w:t>
      </w:r>
      <w:r>
        <w:t xml:space="preserve"> </w:t>
      </w:r>
      <w:r>
        <w:t xml:space="preserve">Евгеньевич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практические навыки работы в консоли с атрибутами файлов, закрепить теоретические основы дискреционного разграничения доступа в современных системах с открытым кодом на базе ОС Linux.</w:t>
      </w:r>
    </w:p>
    <w:bookmarkEnd w:id="20"/>
    <w:bookmarkStart w:id="43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1"/>
        </w:numPr>
      </w:pPr>
      <w:r>
        <w:t xml:space="preserve">В установленной при выполнении предыдущей лабораторной работы операционной системе создали учётную запись пользователя guest (используя учётную запись администратора) и задали пароль для пользователя guest (используя учётную запись администратора)</w:t>
      </w:r>
    </w:p>
    <w:p>
      <w:pPr>
        <w:numPr>
          <w:ilvl w:val="0"/>
          <w:numId w:val="1001"/>
        </w:numPr>
      </w:pPr>
      <w:r>
        <w:t xml:space="preserve">Вошли в систему от имени пользователя guest</w:t>
      </w:r>
    </w:p>
    <w:p>
      <w:pPr>
        <w:numPr>
          <w:ilvl w:val="0"/>
          <w:numId w:val="1001"/>
        </w:numPr>
      </w:pPr>
      <w:r>
        <w:t xml:space="preserve">Командой pwd определили директорию, в которой находимся и определили является ли она домашней директорией</w:t>
      </w:r>
    </w:p>
    <w:p>
      <w:pPr>
        <w:numPr>
          <w:ilvl w:val="0"/>
          <w:numId w:val="1001"/>
        </w:numPr>
      </w:pPr>
      <w:r>
        <w:t xml:space="preserve">Уточнили имя нашего пользователя командой whoami:</w:t>
      </w:r>
    </w:p>
    <w:p>
      <w:pPr>
        <w:numPr>
          <w:ilvl w:val="0"/>
          <w:numId w:val="1001"/>
        </w:numPr>
      </w:pPr>
      <w:r>
        <w:t xml:space="preserve">Уточнили имя пользователя, его группу, а также группы, куда входит пользователь, командой id. Выведенные значения uid, gid и др. Сравнили вывод id с выводом команды groups. Видим, что gid и группы = 1001(guest)</w:t>
      </w:r>
    </w:p>
    <w:p>
      <w:pPr>
        <w:numPr>
          <w:ilvl w:val="0"/>
          <w:numId w:val="1001"/>
        </w:numPr>
      </w:pPr>
      <w:r>
        <w:t xml:space="preserve">Сравним полученную информацию об имени пользователя с данными, выводимыми в приглашении командной строки и убедимся, что они совпадают</w:t>
      </w:r>
    </w:p>
    <w:p>
      <w:pPr>
        <w:pStyle w:val="CaptionedFigure"/>
      </w:pPr>
      <w:bookmarkStart w:id="24" w:name="fig:001"/>
      <w:r>
        <w:drawing>
          <wp:inline>
            <wp:extent cx="5334000" cy="2834536"/>
            <wp:effectExtent b="0" l="0" r="0" t="0"/>
            <wp:docPr descr="Figure 1: Информация о пользователе guest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4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Figure 1: Информация о пользователе guest</w:t>
      </w:r>
    </w:p>
    <w:p>
      <w:pPr>
        <w:numPr>
          <w:ilvl w:val="0"/>
          <w:numId w:val="1002"/>
        </w:numPr>
        <w:pStyle w:val="Compact"/>
      </w:pPr>
      <w:r>
        <w:t xml:space="preserve">Просмотрим файл /etc/passwd Командой: cat /etc/passwd. Найдем в нём свою учётную запись. Определим uid пользователя. Определим gid пользователя. Сравним найденные значения с полученными в предыдущих пунктах. Guest имеет те же идентификаторы 1001, наш пользователь под идентификатором 1002.</w:t>
      </w:r>
    </w:p>
    <w:p>
      <w:pPr>
        <w:pStyle w:val="CaptionedFigure"/>
      </w:pPr>
      <w:bookmarkStart w:id="28" w:name="fig:002"/>
      <w:r>
        <w:drawing>
          <wp:inline>
            <wp:extent cx="5334000" cy="6166306"/>
            <wp:effectExtent b="0" l="0" r="0" t="0"/>
            <wp:docPr descr="Figure 2: Сожержимое файла /etc/passwd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66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Figure 2: Сожержимое файла /etc/passwd</w:t>
      </w:r>
    </w:p>
    <w:p>
      <w:pPr>
        <w:numPr>
          <w:ilvl w:val="0"/>
          <w:numId w:val="1003"/>
        </w:numPr>
      </w:pPr>
      <w:r>
        <w:t xml:space="preserve">Определим существующие в системе директории командой ls -l /home/</w:t>
      </w:r>
    </w:p>
    <w:p>
      <w:pPr>
        <w:numPr>
          <w:ilvl w:val="0"/>
          <w:numId w:val="1003"/>
        </w:numPr>
      </w:pPr>
      <w:r>
        <w:t xml:space="preserve">Проверили, какие расширенные атрибуты установлены на поддиректориях, находящихся в директории /home, командой: lsattr /home. Нам не удалось увидеть расширенные атрибуты директорий других пользователей, только своей домашней директории.</w:t>
      </w:r>
    </w:p>
    <w:p>
      <w:pPr>
        <w:pStyle w:val="CaptionedFigure"/>
      </w:pPr>
      <w:bookmarkStart w:id="32" w:name="fig:003"/>
      <w:r>
        <w:drawing>
          <wp:inline>
            <wp:extent cx="5334000" cy="1193622"/>
            <wp:effectExtent b="0" l="0" r="0" t="0"/>
            <wp:docPr descr="Figure 3: Расширенные атрибут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3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Figure 3: Расширенные атрибуты</w:t>
      </w:r>
    </w:p>
    <w:p>
      <w:pPr>
        <w:numPr>
          <w:ilvl w:val="0"/>
          <w:numId w:val="1004"/>
        </w:numPr>
      </w:pPr>
      <w:r>
        <w:t xml:space="preserve">Создали в домашней директории поддиректорию dir1 командой mkdir dir1. Определим командами ls -l и lsattr, какие права доступа и расширенные атрибуты были выставлены на директорию dir1.</w:t>
      </w:r>
    </w:p>
    <w:p>
      <w:pPr>
        <w:numPr>
          <w:ilvl w:val="0"/>
          <w:numId w:val="1004"/>
        </w:numPr>
      </w:pPr>
      <w:r>
        <w:t xml:space="preserve">Сняли с директории dir1 все атрибуты командой chmod 000 dir1 и проверили с ls -l помощью правильность выполнения команды chmod.</w:t>
      </w:r>
    </w:p>
    <w:p>
      <w:pPr>
        <w:numPr>
          <w:ilvl w:val="0"/>
          <w:numId w:val="1004"/>
        </w:numPr>
      </w:pPr>
      <w:r>
        <w:t xml:space="preserve">Создали в директории dir1 файл file1 командой echo</w:t>
      </w:r>
      <w:r>
        <w:t xml:space="preserve"> </w:t>
      </w:r>
      <w:r>
        <w:t xml:space="preserve">“</w:t>
      </w:r>
      <w:r>
        <w:t xml:space="preserve">test</w:t>
      </w:r>
      <w:r>
        <w:t xml:space="preserve">”</w:t>
      </w:r>
      <w:r>
        <w:t xml:space="preserve"> </w:t>
      </w:r>
      <w:r>
        <w:t xml:space="preserve">&gt; /home/guest/dir1/file1. Поскольку ранее мы отозвали все атрибуты, то тем самым лишили всех прав на взаимодействие с dir1.</w:t>
      </w:r>
    </w:p>
    <w:p>
      <w:pPr>
        <w:pStyle w:val="CaptionedFigure"/>
      </w:pPr>
      <w:bookmarkStart w:id="36" w:name="fig:004"/>
      <w:r>
        <w:drawing>
          <wp:inline>
            <wp:extent cx="5101389" cy="3368842"/>
            <wp:effectExtent b="0" l="0" r="0" t="0"/>
            <wp:docPr descr="Figure 4: Снятие атрибутов с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1389" cy="336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Figure 4: Снятие атрибутов с директории</w:t>
      </w:r>
    </w:p>
    <w:p>
      <w:pPr>
        <w:numPr>
          <w:ilvl w:val="0"/>
          <w:numId w:val="1005"/>
        </w:numPr>
        <w:pStyle w:val="Compact"/>
      </w:pPr>
      <w:r>
        <w:t xml:space="preserve">Заполним таблицу «Установленные права и разрешённые действия», выполняя действия от имени владельца директории (файлов), определим опытным путём, какие операции разрешены, а какие нет. Если операция разрешена, заносим в таблицу знак «+», если не разрешена, знак «-».</w:t>
      </w:r>
    </w:p>
    <w:p>
      <w:pPr>
        <w:pStyle w:val="CaptionedFigure"/>
      </w:pPr>
      <w:bookmarkStart w:id="40" w:name="fig:005"/>
      <w:r>
        <w:drawing>
          <wp:inline>
            <wp:extent cx="5334000" cy="6070343"/>
            <wp:effectExtent b="0" l="0" r="0" t="0"/>
            <wp:docPr descr="Figure 5: 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70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Figure 5: Заполнение таблицы</w:t>
      </w:r>
    </w:p>
    <w:p>
      <w:pPr>
        <w:pStyle w:val="BodyText"/>
      </w:pPr>
      <w:r>
        <w:t xml:space="preserve">1 - Создание файла</w:t>
      </w:r>
    </w:p>
    <w:p>
      <w:pPr>
        <w:pStyle w:val="BodyText"/>
      </w:pPr>
      <w:r>
        <w:t xml:space="preserve">2- Удаление файла</w:t>
      </w:r>
    </w:p>
    <w:p>
      <w:pPr>
        <w:pStyle w:val="BodyText"/>
      </w:pPr>
      <w:r>
        <w:t xml:space="preserve">3- Запись в файл</w:t>
      </w:r>
    </w:p>
    <w:p>
      <w:pPr>
        <w:pStyle w:val="BodyText"/>
      </w:pPr>
      <w:r>
        <w:t xml:space="preserve">4- Чтение файла</w:t>
      </w:r>
    </w:p>
    <w:p>
      <w:pPr>
        <w:pStyle w:val="BodyText"/>
      </w:pPr>
      <w:r>
        <w:t xml:space="preserve">5- Смена директории</w:t>
      </w:r>
    </w:p>
    <w:p>
      <w:pPr>
        <w:pStyle w:val="BodyText"/>
      </w:pPr>
      <w:r>
        <w:t xml:space="preserve">6- Просмотр файлов в директории</w:t>
      </w:r>
    </w:p>
    <w:p>
      <w:pPr>
        <w:pStyle w:val="BodyText"/>
      </w:pPr>
      <w:r>
        <w:t xml:space="preserve">7 - Переименование файла</w:t>
      </w:r>
    </w:p>
    <w:p>
      <w:pPr>
        <w:pStyle w:val="BodyText"/>
      </w:pPr>
      <w:r>
        <w:t xml:space="preserve">8- Смена атрибутов файла</w:t>
      </w:r>
    </w:p>
    <w:bookmarkStart w:id="41" w:name="tbl:rig-act"/>
    <w:p>
      <w:pPr>
        <w:pStyle w:val="TableCaption"/>
      </w:pPr>
      <w:r>
        <w:t xml:space="preserve">Table 1: Установленные права и разрешённые действия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: Установленные права и разрешённые действия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</w:tbl>
    <w:bookmarkEnd w:id="41"/>
    <w:p>
      <w:pPr>
        <w:pStyle w:val="BodyText"/>
      </w:pPr>
      <w:r>
        <w:t xml:space="preserve">На основании таблицы выше определили минимально необходимые права для выполнения операций внутри директории dir1 и заполнили таблицу 2. Для заполнения последних двух строк опытным путем проверили минимальные права.</w:t>
      </w:r>
    </w:p>
    <w:bookmarkStart w:id="42" w:name="tbl:min-rig"/>
    <w:p>
      <w:pPr>
        <w:pStyle w:val="TableCaption"/>
      </w:pPr>
      <w:r>
        <w:t xml:space="preserve">Table 2: Минимальные права для совершения операций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2: Минимальные права для совершения операций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-r-------- (400)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--w------- (200)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bookmarkEnd w:id="42"/>
    <w:bookmarkEnd w:id="43"/>
    <w:bookmarkStart w:id="44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атрибутами файлов и сведения о разграничении доступа.</w:t>
      </w:r>
    </w:p>
    <w:bookmarkEnd w:id="44"/>
    <w:bookmarkStart w:id="47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6"/>
        </w:numPr>
        <w:pStyle w:val="Compact"/>
      </w:pPr>
      <w:hyperlink r:id="rId45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numPr>
          <w:ilvl w:val="0"/>
          <w:numId w:val="1006"/>
        </w:numPr>
        <w:pStyle w:val="Compact"/>
      </w:pPr>
      <w:hyperlink r:id="rId46">
        <w:r>
          <w:rPr>
            <w:rStyle w:val="Hyperlink"/>
          </w:rPr>
          <w:t xml:space="preserve">Разрешения доступа к файлам</w:t>
        </w:r>
      </w:hyperlink>
    </w:p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6" Target="https://linuxcommand.ru/razresheniya-dostupa-k-failam/" TargetMode="External" /><Relationship Type="http://schemas.openxmlformats.org/officeDocument/2006/relationships/hyperlink" Id="rId45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s://linuxcommand.ru/razresheniya-dostupa-k-failam/" TargetMode="External" /><Relationship Type="http://schemas.openxmlformats.org/officeDocument/2006/relationships/hyperlink" Id="rId45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Петров Артем Евгеньевич</dc:creator>
  <dc:language>ru-RU</dc:language>
  <cp:keywords/>
  <dcterms:created xsi:type="dcterms:W3CDTF">2025-12-16T15:25:06Z</dcterms:created>
  <dcterms:modified xsi:type="dcterms:W3CDTF">2025-12-16T15:25:06Z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ocumentclass">
    <vt:lpwstr>scrreprt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IndexTemplate">
    <vt:lpwstr>(i)</vt:lpwstr>
  </property>
  <property fmtid="{D5CDD505-2E9C-101B-9397-08002B2CF9AE}" pid="18" name="eqnInlineTemplate">
    <vt:lpwstr>eequationNumberTeX{i}</vt:lpwstr>
  </property>
  <property fmtid="{D5CDD505-2E9C-101B-9397-08002B2CF9AE}" pid="19" name="eqnPrefix">
    <vt:lpwstr/>
  </property>
  <property fmtid="{D5CDD505-2E9C-101B-9397-08002B2CF9AE}" pid="20" name="eqnPrefixTemplate">
    <vt:lpwstr>p i</vt:lpwstr>
  </property>
  <property fmtid="{D5CDD505-2E9C-101B-9397-08002B2CF9AE}" pid="21" name="equationNumberTeX">
    <vt:lpwstr>\qquad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ureTemplate">
    <vt:lpwstr>figureTitle ititleDelim t</vt:lpwstr>
  </property>
  <property fmtid="{D5CDD505-2E9C-101B-9397-08002B2CF9AE}" pid="26" name="figureTitle">
    <vt:lpwstr>Figure</vt:lpwstr>
  </property>
  <property fmtid="{D5CDD505-2E9C-101B-9397-08002B2CF9AE}" pid="27" name="fontsize">
    <vt:lpwstr>12pt</vt:lpwstr>
  </property>
  <property fmtid="{D5CDD505-2E9C-101B-9397-08002B2CF9AE}" pid="28" name="header-includes">
    <vt:lpwstr/>
  </property>
  <property fmtid="{D5CDD505-2E9C-101B-9397-08002B2CF9AE}" pid="29" name="indent">
    <vt:lpwstr>True</vt:lpwstr>
  </property>
  <property fmtid="{D5CDD505-2E9C-101B-9397-08002B2CF9AE}" pid="30" name="lastDelim">
    <vt:lpwstr>, </vt:lpwstr>
  </property>
  <property fmtid="{D5CDD505-2E9C-101B-9397-08002B2CF9AE}" pid="31" name="linestretch">
    <vt:lpwstr>1.5</vt:lpwstr>
  </property>
  <property fmtid="{D5CDD505-2E9C-101B-9397-08002B2CF9AE}" pid="32" name="linkReferences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">
    <vt:lpwstr>True</vt:lpwstr>
  </property>
  <property fmtid="{D5CDD505-2E9C-101B-9397-08002B2CF9AE}" pid="37" name="lofTitle">
    <vt:lpwstr>List of Figures</vt:lpwstr>
  </property>
  <property fmtid="{D5CDD505-2E9C-101B-9397-08002B2CF9AE}" pid="38" name="lolTitle">
    <vt:lpwstr>List of Listings</vt:lpwstr>
  </property>
  <property fmtid="{D5CDD505-2E9C-101B-9397-08002B2CF9AE}" pid="39" name="lotTitle">
    <vt:lpwstr>List of Tables</vt:lpwstr>
  </property>
  <property fmtid="{D5CDD505-2E9C-101B-9397-08002B2CF9AE}" pid="40" name="lstLabels">
    <vt:lpwstr>arabic</vt:lpwstr>
  </property>
  <property fmtid="{D5CDD505-2E9C-101B-9397-08002B2CF9AE}" pid="41" name="lstPrefix">
    <vt:lpwstr/>
  </property>
  <property fmtid="{D5CDD505-2E9C-101B-9397-08002B2CF9AE}" pid="42" name="lstPrefixTemplate">
    <vt:lpwstr>p i</vt:lpwstr>
  </property>
  <property fmtid="{D5CDD505-2E9C-101B-9397-08002B2CF9AE}" pid="43" name="mainfont">
    <vt:lpwstr>PT Serif</vt:lpwstr>
  </property>
  <property fmtid="{D5CDD505-2E9C-101B-9397-08002B2CF9AE}" pid="44" name="mainfontoptions">
    <vt:lpwstr>Ligatures=TeX</vt:lpwstr>
  </property>
  <property fmtid="{D5CDD505-2E9C-101B-9397-08002B2CF9AE}" pid="45" name="monofont">
    <vt:lpwstr>PT Mono</vt:lpwstr>
  </property>
  <property fmtid="{D5CDD505-2E9C-101B-9397-08002B2CF9AE}" pid="46" name="monofontoptions">
    <vt:lpwstr>Scale=MatchLowercase</vt:lpwstr>
  </property>
  <property fmtid="{D5CDD505-2E9C-101B-9397-08002B2CF9AE}" pid="47" name="nameInLink">
    <vt:lpwstr>False</vt:lpwstr>
  </property>
  <property fmtid="{D5CDD505-2E9C-101B-9397-08002B2CF9AE}" pid="48" name="numberSections">
    <vt:lpwstr>False</vt:lpwstr>
  </property>
  <property fmtid="{D5CDD505-2E9C-101B-9397-08002B2CF9AE}" pid="49" name="pairDelim">
    <vt:lpwstr>, </vt:lpwstr>
  </property>
  <property fmtid="{D5CDD505-2E9C-101B-9397-08002B2CF9AE}" pid="50" name="papersize">
    <vt:lpwstr>a4paper</vt:lpwstr>
  </property>
  <property fmtid="{D5CDD505-2E9C-101B-9397-08002B2CF9AE}" pid="51" name="pdf-engine">
    <vt:lpwstr>lualatex</vt:lpwstr>
  </property>
  <property fmtid="{D5CDD505-2E9C-101B-9397-08002B2CF9AE}" pid="52" name="polyglossia-lang">
    <vt:lpwstr>russian</vt:lpwstr>
  </property>
  <property fmtid="{D5CDD505-2E9C-101B-9397-08002B2CF9AE}" pid="53" name="polyglossia-otherlangs">
    <vt:lpwstr>english</vt:lpwstr>
  </property>
  <property fmtid="{D5CDD505-2E9C-101B-9397-08002B2CF9AE}" pid="54" name="rangeDelim">
    <vt:lpwstr>-</vt:lpwstr>
  </property>
  <property fmtid="{D5CDD505-2E9C-101B-9397-08002B2CF9AE}" pid="55" name="refDelim">
    <vt:lpwstr>, </vt:lpwstr>
  </property>
  <property fmtid="{D5CDD505-2E9C-101B-9397-08002B2CF9AE}" pid="56" name="refIndexTemplate">
    <vt:lpwstr>isuf</vt:lpwstr>
  </property>
  <property fmtid="{D5CDD505-2E9C-101B-9397-08002B2CF9AE}" pid="57" name="romanfont">
    <vt:lpwstr>PT Serif</vt:lpwstr>
  </property>
  <property fmtid="{D5CDD505-2E9C-101B-9397-08002B2CF9AE}" pid="58" name="romanfontoptions">
    <vt:lpwstr>Ligatures=TeX</vt:lpwstr>
  </property>
  <property fmtid="{D5CDD505-2E9C-101B-9397-08002B2CF9AE}" pid="59" name="sansfont">
    <vt:lpwstr>PT Sans</vt:lpwstr>
  </property>
  <property fmtid="{D5CDD505-2E9C-101B-9397-08002B2CF9AE}" pid="60" name="sansfontoptions">
    <vt:lpwstr>Ligatures=TeX,Scale=MatchLowercase</vt:lpwstr>
  </property>
  <property fmtid="{D5CDD505-2E9C-101B-9397-08002B2CF9AE}" pid="61" name="secHeaderDelim">
    <vt:lpwstr> </vt:lpwstr>
  </property>
  <property fmtid="{D5CDD505-2E9C-101B-9397-08002B2CF9AE}" pid="62" name="secHeaderTemplate">
    <vt:lpwstr>isecHeaderDelim[n]t</vt:lpwstr>
  </property>
  <property fmtid="{D5CDD505-2E9C-101B-9397-08002B2CF9AE}" pid="63" name="secLabels">
    <vt:lpwstr>arabic</vt:lpwstr>
  </property>
  <property fmtid="{D5CDD505-2E9C-101B-9397-08002B2CF9AE}" pid="64" name="secPrefix">
    <vt:lpwstr/>
  </property>
  <property fmtid="{D5CDD505-2E9C-101B-9397-08002B2CF9AE}" pid="65" name="secPrefixTemplate">
    <vt:lpwstr>p i</vt:lpwstr>
  </property>
  <property fmtid="{D5CDD505-2E9C-101B-9397-08002B2CF9AE}" pid="66" name="sectionsDepth">
    <vt:lpwstr>0</vt:lpwstr>
  </property>
  <property fmtid="{D5CDD505-2E9C-101B-9397-08002B2CF9AE}" pid="67" name="subfigGrid">
    <vt:lpwstr>False</vt:lpwstr>
  </property>
  <property fmtid="{D5CDD505-2E9C-101B-9397-08002B2CF9AE}" pid="68" name="subfigLabels">
    <vt:lpwstr>alpha a</vt:lpwstr>
  </property>
  <property fmtid="{D5CDD505-2E9C-101B-9397-08002B2CF9AE}" pid="69" name="subfigureChildTemplate">
    <vt:lpwstr>i</vt:lpwstr>
  </property>
  <property fmtid="{D5CDD505-2E9C-101B-9397-08002B2CF9AE}" pid="70" name="subfigureRefIndexTemplate">
    <vt:lpwstr>isuf (s)</vt:lpwstr>
  </property>
  <property fmtid="{D5CDD505-2E9C-101B-9397-08002B2CF9AE}" pid="71" name="subfigureTemplate">
    <vt:lpwstr>figureTitle ititleDelim t. ccs</vt:lpwstr>
  </property>
  <property fmtid="{D5CDD505-2E9C-101B-9397-08002B2CF9AE}" pid="72" name="subtitle">
    <vt:lpwstr>Дискреционное разграничение прав в Linux. Основные атрибуты</vt:lpwstr>
  </property>
  <property fmtid="{D5CDD505-2E9C-101B-9397-08002B2CF9AE}" pid="73" name="tableEqns">
    <vt:lpwstr>False</vt:lpwstr>
  </property>
  <property fmtid="{D5CDD505-2E9C-101B-9397-08002B2CF9AE}" pid="74" name="tableTemplate">
    <vt:lpwstr>tableTitle ititleDelim t</vt:lpwstr>
  </property>
  <property fmtid="{D5CDD505-2E9C-101B-9397-08002B2CF9AE}" pid="75" name="tableTitle">
    <vt:lpwstr>Table</vt:lpwstr>
  </property>
  <property fmtid="{D5CDD505-2E9C-101B-9397-08002B2CF9AE}" pid="76" name="tblLabels">
    <vt:lpwstr>arabic</vt:lpwstr>
  </property>
  <property fmtid="{D5CDD505-2E9C-101B-9397-08002B2CF9AE}" pid="77" name="tblPrefix">
    <vt:lpwstr/>
  </property>
  <property fmtid="{D5CDD505-2E9C-101B-9397-08002B2CF9AE}" pid="78" name="tblPrefixTemplate">
    <vt:lpwstr>p i</vt:lpwstr>
  </property>
  <property fmtid="{D5CDD505-2E9C-101B-9397-08002B2CF9AE}" pid="79" name="titleDelim">
    <vt:lpwstr>:</vt:lpwstr>
  </property>
  <property fmtid="{D5CDD505-2E9C-101B-9397-08002B2CF9AE}" pid="80" name="toc">
    <vt:lpwstr>True</vt:lpwstr>
  </property>
  <property fmtid="{D5CDD505-2E9C-101B-9397-08002B2CF9AE}" pid="81" name="toc-title">
    <vt:lpwstr>Содержание</vt:lpwstr>
  </property>
  <property fmtid="{D5CDD505-2E9C-101B-9397-08002B2CF9AE}" pid="82" name="toc_depth">
    <vt:lpwstr>2</vt:lpwstr>
  </property>
</Properties>
</file>