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Offline Operational Report</w:t>
      </w:r>
    </w:p>
    <w:p>
      <w:r>
        <w:t>This document was generated 100% offline using INDRA's unified document suite.</w:t>
      </w:r>
    </w:p>
    <w:p>
      <w:pPr>
        <w:pStyle w:val="Heading2"/>
      </w:pPr>
      <w:r>
        <w:t>Executive Summary</w:t>
      </w:r>
    </w:p>
    <w:p>
      <w:r>
        <w:t>All components are functioning within nominal parameters. Local inferencing, offline tool execution, and workspace persistence are operational.</w:t>
      </w:r>
    </w:p>
    <w:p>
      <w:pPr>
        <w:pStyle w:val="Heading2"/>
      </w:pPr>
      <w:r>
        <w:t>System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Inference Latency</w:t>
            </w:r>
          </w:p>
        </w:tc>
        <w:tc>
          <w:tcPr>
            <w:tcW w:type="dxa" w:w="2160"/>
          </w:tcPr>
          <w:p>
            <w:r>
              <w:t>45ms</w:t>
            </w:r>
          </w:p>
        </w:tc>
        <w:tc>
          <w:tcPr>
            <w:tcW w:type="dxa" w:w="2160"/>
          </w:tcPr>
          <w:p>
            <w:r>
              <w:t>38ms</w:t>
            </w:r>
          </w:p>
        </w:tc>
        <w:tc>
          <w:tcPr>
            <w:tcW w:type="dxa" w:w="2160"/>
          </w:tcPr>
          <w:p>
            <w:r>
              <w:t>Optimal</w:t>
            </w:r>
          </w:p>
        </w:tc>
      </w:tr>
      <w:tr>
        <w:tc>
          <w:tcPr>
            <w:tcW w:type="dxa" w:w="2160"/>
          </w:tcPr>
          <w:p>
            <w:r>
              <w:t>VRAM Footprint</w:t>
            </w:r>
          </w:p>
        </w:tc>
        <w:tc>
          <w:tcPr>
            <w:tcW w:type="dxa" w:w="2160"/>
          </w:tcPr>
          <w:p>
            <w:r>
              <w:t>5.8 GB</w:t>
            </w:r>
          </w:p>
        </w:tc>
        <w:tc>
          <w:tcPr>
            <w:tcW w:type="dxa" w:w="2160"/>
          </w:tcPr>
          <w:p>
            <w:r>
              <w:t>5.2 GB</w:t>
            </w:r>
          </w:p>
        </w:tc>
        <w:tc>
          <w:tcPr>
            <w:tcW w:type="dxa" w:w="2160"/>
          </w:tcPr>
          <w:p>
            <w:r>
              <w:t>Protected</w:t>
            </w:r>
          </w:p>
        </w:tc>
      </w:tr>
      <w:tr>
        <w:tc>
          <w:tcPr>
            <w:tcW w:type="dxa" w:w="2160"/>
          </w:tcPr>
          <w:p>
            <w:r>
              <w:t>PDF Generation Speed</w:t>
            </w:r>
          </w:p>
        </w:tc>
        <w:tc>
          <w:tcPr>
            <w:tcW w:type="dxa" w:w="2160"/>
          </w:tcPr>
          <w:p>
            <w:r>
              <w:t>1.8s</w:t>
            </w:r>
          </w:p>
        </w:tc>
        <w:tc>
          <w:tcPr>
            <w:tcW w:type="dxa" w:w="2160"/>
          </w:tcPr>
          <w:p>
            <w:r>
              <w:t>0.4s</w:t>
            </w:r>
          </w:p>
        </w:tc>
        <w:tc>
          <w:tcPr>
            <w:tcW w:type="dxa" w:w="2160"/>
          </w:tcPr>
          <w:p>
            <w:r>
              <w:t>Accelerated</w:t>
            </w:r>
          </w:p>
        </w:tc>
      </w:tr>
      <w:tr>
        <w:tc>
          <w:tcPr>
            <w:tcW w:type="dxa" w:w="2160"/>
          </w:tcPr>
          <w:p>
            <w:r>
              <w:t>Token Throughput</w:t>
            </w:r>
          </w:p>
        </w:tc>
        <w:tc>
          <w:tcPr>
            <w:tcW w:type="dxa" w:w="2160"/>
          </w:tcPr>
          <w:p>
            <w:r>
              <w:t>24 tps</w:t>
            </w:r>
          </w:p>
        </w:tc>
        <w:tc>
          <w:tcPr>
            <w:tcW w:type="dxa" w:w="2160"/>
          </w:tcPr>
          <w:p>
            <w:r>
              <w:t>29 tps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</w:tbl>
    <w:p/>
    <w:p>
      <w:pPr>
        <w:pStyle w:val="Heading2"/>
      </w:pPr>
      <w:r>
        <w:t>Key Recommendations</w:t>
      </w:r>
    </w:p>
    <w:p>
      <w:pPr>
        <w:pStyle w:val="ListBullet"/>
      </w:pPr>
      <w:r/>
      <w:r>
        <w:rPr>
          <w:b/>
        </w:rPr>
        <w:t>Maintain local mode</w:t>
      </w:r>
      <w:r>
        <w:t>: Keep `approvals.mode: smart` for user oversight or `off` for autonomous execution.</w:t>
      </w:r>
    </w:p>
    <w:p>
      <w:pPr>
        <w:pStyle w:val="ListBullet"/>
      </w:pPr>
      <w:r/>
      <w:r>
        <w:rPr>
          <w:b/>
        </w:rPr>
        <w:t>Utilize Platypus flowables</w:t>
      </w:r>
      <w:r>
        <w:t>: Prevents text clipping and maintains page boundaries.</w:t>
      </w:r>
    </w:p>
    <w:p>
      <w:pPr>
        <w:pStyle w:val="ListBullet"/>
      </w:pPr>
      <w:r/>
      <w:r>
        <w:rPr>
          <w:b/>
        </w:rPr>
        <w:t>Export directly to ./outputs/</w:t>
      </w:r>
      <w:r>
        <w:t>: Preserves deliverables across session teardowns.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