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3A5F"/>
          <w:sz w:val="36"/>
        </w:rPr>
        <w:t>What has changed in the teacher training programme</w:t>
      </w:r>
    </w:p>
    <w:p>
      <w:pPr>
        <w:spacing w:after="200"/>
        <w:pBdr>
          <w:bottom w:val="single" w:sz="10" w:space="4" w:color="1F3A5F"/>
        </w:pBdr>
      </w:pPr>
      <w:r>
        <w:rPr>
          <w:color w:val="5A5A5A"/>
          <w:sz w:val="21"/>
        </w:rPr>
        <w:t>A summary of the changes made since Friday 2 October · prepared for Fast Foundation</w:t>
      </w:r>
    </w:p>
    <w:p>
      <w:pPr>
        <w:spacing w:after="140"/>
      </w:pPr>
      <w:r>
        <w:rPr>
          <w:i w:val="0"/>
          <w:color w:val="1A1A1A"/>
          <w:sz w:val="21"/>
        </w:rPr>
        <w:t xml:space="preserve">This is a programme that teaches school teachers to write computer programs, so that they can then teach the subject to their pupils. The changes since the version you were sent fall into three groups, below. </w:t>
      </w:r>
      <w:r>
        <w:rPr>
          <w:b/>
          <w:i w:val="0"/>
          <w:color w:val="1A1A1A"/>
          <w:sz w:val="21"/>
        </w:rPr>
        <w:t>Nothing has been cancelled or cut</w:t>
      </w:r>
      <w:r>
        <w:rPr>
          <w:i w:val="0"/>
          <w:color w:val="1A1A1A"/>
          <w:sz w:val="21"/>
        </w:rPr>
        <w:t xml:space="preserve"> — the programme is now longer, taught in smaller groups, and measured far more carefully.</w:t>
      </w:r>
    </w:p>
    <w:p>
      <w:pPr>
        <w:pStyle w:val="Heading2"/>
      </w:pPr>
      <w:r>
        <w:t>How the programme is organised</w:t>
      </w:r>
    </w:p>
    <w:tbl>
      <w:tblPr>
        <w:tblStyle w:val="TableGrid"/>
        <w:tblW w:type="auto" w:w="0"/>
        <w:jc w:val="center"/>
        <w:tblLayout w:type="fixed"/>
        <w:tblLook w:firstColumn="1" w:firstRow="1" w:lastColumn="0" w:lastRow="0" w:noHBand="0" w:noVBand="1" w:val="04A0"/>
      </w:tblPr>
      <w:tblGrid>
        <w:gridCol w:w="1035"/>
        <w:gridCol w:w="1600"/>
        <w:gridCol w:w="2447"/>
        <w:gridCol w:w="4329"/>
      </w:tblGrid>
      <w:tr>
        <w:trPr>
          <w:tblHeader w:val="true"/>
        </w:trPr>
        <w:tc>
          <w:tcPr>
            <w:tcW w:type="dxa" w:w="1035"/>
            <w:shd w:val="clear" w:fill="1F3A5F"/>
          </w:tcPr>
          <w:p>
            <w:pPr>
              <w:spacing w:after="40" w:before="40"/>
            </w:pPr>
            <w:r/>
            <w:r>
              <w:rPr>
                <w:b/>
                <w:color w:val="FFFFFF"/>
                <w:sz w:val="18"/>
              </w:rPr>
            </w:r>
          </w:p>
        </w:tc>
        <w:tc>
          <w:tcPr>
            <w:tcW w:type="dxa" w:w="1600"/>
            <w:shd w:val="clear" w:fill="1F3A5F"/>
          </w:tcPr>
          <w:p>
            <w:pPr>
              <w:spacing w:after="40" w:before="40"/>
            </w:pPr>
            <w:r/>
            <w:r>
              <w:rPr>
                <w:b/>
                <w:color w:val="FFFFFF"/>
                <w:sz w:val="18"/>
              </w:rPr>
              <w:t>Before</w:t>
            </w:r>
          </w:p>
        </w:tc>
        <w:tc>
          <w:tcPr>
            <w:tcW w:type="dxa" w:w="2447"/>
            <w:shd w:val="clear" w:fill="1F3A5F"/>
          </w:tcPr>
          <w:p>
            <w:pPr>
              <w:spacing w:after="40" w:before="40"/>
            </w:pPr>
            <w:r/>
            <w:r>
              <w:rPr>
                <w:b/>
                <w:color w:val="FFFFFF"/>
                <w:sz w:val="18"/>
              </w:rPr>
              <w:t>Now</w:t>
            </w:r>
          </w:p>
        </w:tc>
        <w:tc>
          <w:tcPr>
            <w:tcW w:type="dxa" w:w="4329"/>
            <w:shd w:val="clear" w:fill="1F3A5F"/>
          </w:tcPr>
          <w:p>
            <w:pPr>
              <w:spacing w:after="40" w:before="40"/>
            </w:pPr>
            <w:r/>
            <w:r>
              <w:rPr>
                <w:b/>
                <w:color w:val="FFFFFF"/>
                <w:sz w:val="18"/>
              </w:rPr>
              <w:t>Why</w:t>
            </w:r>
          </w:p>
        </w:tc>
      </w:tr>
      <w:tr>
        <w:tc>
          <w:tcPr>
            <w:tcW w:type="dxa" w:w="1035"/>
          </w:tcPr>
          <w:p>
            <w:pPr>
              <w:spacing w:after="40" w:before="40"/>
            </w:pPr>
            <w:r/>
            <w:r>
              <w:rPr>
                <w:b/>
                <w:i w:val="0"/>
                <w:color w:val="1A1A1A"/>
                <w:sz w:val="18"/>
              </w:rPr>
              <w:t>Length</w:t>
            </w:r>
          </w:p>
        </w:tc>
        <w:tc>
          <w:tcPr>
            <w:tcW w:type="dxa" w:w="1600"/>
          </w:tcPr>
          <w:p>
            <w:pPr>
              <w:spacing w:after="40" w:before="40"/>
            </w:pPr>
            <w:r/>
            <w:r>
              <w:rPr>
                <w:i w:val="0"/>
                <w:color w:val="1A1A1A"/>
                <w:sz w:val="18"/>
              </w:rPr>
              <w:t>One course</w:t>
            </w:r>
          </w:p>
        </w:tc>
        <w:tc>
          <w:tcPr>
            <w:tcW w:type="dxa" w:w="2447"/>
          </w:tcPr>
          <w:p>
            <w:pPr>
              <w:spacing w:after="40" w:before="40"/>
            </w:pPr>
            <w:r/>
            <w:r>
              <w:rPr>
                <w:b/>
                <w:i w:val="0"/>
                <w:color w:val="1A1A1A"/>
                <w:sz w:val="18"/>
              </w:rPr>
              <w:t>Two parts: 2 months, then 4 months</w:t>
            </w:r>
          </w:p>
        </w:tc>
        <w:tc>
          <w:tcPr>
            <w:tcW w:type="dxa" w:w="4329"/>
          </w:tcPr>
          <w:p>
            <w:pPr>
              <w:spacing w:after="40" w:before="40"/>
            </w:pPr>
            <w:r/>
            <w:r>
              <w:rPr>
                <w:i w:val="0"/>
                <w:color w:val="1A1A1A"/>
                <w:sz w:val="18"/>
              </w:rPr>
              <w:t>The first part teaches teachers to write code. The second teaches them to solve problems with it. They are different skills, and the second only makes sense once the first is in place</w:t>
            </w:r>
          </w:p>
        </w:tc>
      </w:tr>
      <w:tr>
        <w:tc>
          <w:tcPr>
            <w:tcW w:type="dxa" w:w="1035"/>
            <w:shd w:val="clear" w:fill="EEF2F7"/>
          </w:tcPr>
          <w:p>
            <w:pPr>
              <w:spacing w:after="40" w:before="40"/>
            </w:pPr>
            <w:r/>
            <w:r>
              <w:rPr>
                <w:b/>
                <w:i w:val="0"/>
                <w:color w:val="1A1A1A"/>
                <w:sz w:val="18"/>
              </w:rPr>
              <w:t>Lessons</w:t>
            </w:r>
          </w:p>
        </w:tc>
        <w:tc>
          <w:tcPr>
            <w:tcW w:type="dxa" w:w="1600"/>
            <w:shd w:val="clear" w:fill="EEF2F7"/>
          </w:tcPr>
          <w:p>
            <w:pPr>
              <w:spacing w:after="40" w:before="40"/>
            </w:pPr>
            <w:r/>
            <w:r>
              <w:rPr>
                <w:i w:val="0"/>
                <w:color w:val="1A1A1A"/>
                <w:sz w:val="18"/>
              </w:rPr>
              <w:t>50 minutes, 20 hours in total</w:t>
            </w:r>
          </w:p>
        </w:tc>
        <w:tc>
          <w:tcPr>
            <w:tcW w:type="dxa" w:w="2447"/>
            <w:shd w:val="clear" w:fill="EEF2F7"/>
          </w:tcPr>
          <w:p>
            <w:pPr>
              <w:spacing w:after="40" w:before="40"/>
            </w:pPr>
            <w:r/>
            <w:r>
              <w:rPr>
                <w:b/>
                <w:i w:val="0"/>
                <w:color w:val="1A1A1A"/>
                <w:sz w:val="18"/>
              </w:rPr>
              <w:t>75 minutes, 30 hours in total</w:t>
            </w:r>
          </w:p>
        </w:tc>
        <w:tc>
          <w:tcPr>
            <w:tcW w:type="dxa" w:w="4329"/>
            <w:shd w:val="clear" w:fill="EEF2F7"/>
          </w:tcPr>
          <w:p>
            <w:pPr>
              <w:spacing w:after="40" w:before="40"/>
            </w:pPr>
            <w:r/>
            <w:r>
              <w:rPr>
                <w:i w:val="0"/>
                <w:color w:val="1A1A1A"/>
                <w:sz w:val="18"/>
              </w:rPr>
              <w:t>The extra time is all spent on teachers practising at the keyboard, not on more explaining</w:t>
            </w:r>
          </w:p>
        </w:tc>
      </w:tr>
      <w:tr>
        <w:tc>
          <w:tcPr>
            <w:tcW w:type="dxa" w:w="1035"/>
          </w:tcPr>
          <w:p>
            <w:pPr>
              <w:spacing w:after="40" w:before="40"/>
            </w:pPr>
            <w:r/>
            <w:r>
              <w:rPr>
                <w:b/>
                <w:i w:val="0"/>
                <w:color w:val="1A1A1A"/>
                <w:sz w:val="18"/>
              </w:rPr>
              <w:t>Class size</w:t>
            </w:r>
          </w:p>
        </w:tc>
        <w:tc>
          <w:tcPr>
            <w:tcW w:type="dxa" w:w="1600"/>
          </w:tcPr>
          <w:p>
            <w:pPr>
              <w:spacing w:after="40" w:before="40"/>
            </w:pPr>
            <w:r/>
            <w:r>
              <w:rPr>
                <w:i w:val="0"/>
                <w:color w:val="1A1A1A"/>
                <w:sz w:val="18"/>
              </w:rPr>
              <w:t>Up to 16 teachers</w:t>
            </w:r>
          </w:p>
        </w:tc>
        <w:tc>
          <w:tcPr>
            <w:tcW w:type="dxa" w:w="2447"/>
          </w:tcPr>
          <w:p>
            <w:pPr>
              <w:spacing w:after="40" w:before="40"/>
            </w:pPr>
            <w:r/>
            <w:r>
              <w:rPr>
                <w:b/>
                <w:i w:val="0"/>
                <w:color w:val="1A1A1A"/>
                <w:sz w:val="18"/>
              </w:rPr>
              <w:t>4 to 8 teachers</w:t>
            </w:r>
          </w:p>
        </w:tc>
        <w:tc>
          <w:tcPr>
            <w:tcW w:type="dxa" w:w="4329"/>
          </w:tcPr>
          <w:p>
            <w:pPr>
              <w:spacing w:after="40" w:before="40"/>
            </w:pPr>
            <w:r/>
            <w:r>
              <w:rPr>
                <w:i w:val="0"/>
                <w:color w:val="1A1A1A"/>
                <w:sz w:val="18"/>
              </w:rPr>
              <w:t>Fewer than four and they cannot discuss anything with each other. More than eight and the trainer cannot keep an eye on everyone</w:t>
            </w:r>
          </w:p>
        </w:tc>
      </w:tr>
      <w:tr>
        <w:tc>
          <w:tcPr>
            <w:tcW w:type="dxa" w:w="1035"/>
            <w:shd w:val="clear" w:fill="EEF2F7"/>
          </w:tcPr>
          <w:p>
            <w:pPr>
              <w:spacing w:after="40" w:before="40"/>
            </w:pPr>
            <w:r/>
            <w:r>
              <w:rPr>
                <w:b/>
                <w:i w:val="0"/>
                <w:color w:val="1A1A1A"/>
                <w:sz w:val="18"/>
              </w:rPr>
              <w:t>Where</w:t>
            </w:r>
          </w:p>
        </w:tc>
        <w:tc>
          <w:tcPr>
            <w:tcW w:type="dxa" w:w="1600"/>
            <w:shd w:val="clear" w:fill="EEF2F7"/>
          </w:tcPr>
          <w:p>
            <w:pPr>
              <w:spacing w:after="40" w:before="40"/>
            </w:pPr>
            <w:r/>
            <w:r>
              <w:rPr>
                <w:i w:val="0"/>
                <w:color w:val="1A1A1A"/>
                <w:sz w:val="18"/>
              </w:rPr>
              <w:t>In a classroom</w:t>
            </w:r>
          </w:p>
        </w:tc>
        <w:tc>
          <w:tcPr>
            <w:tcW w:type="dxa" w:w="2447"/>
            <w:shd w:val="clear" w:fill="EEF2F7"/>
          </w:tcPr>
          <w:p>
            <w:pPr>
              <w:spacing w:after="40" w:before="40"/>
            </w:pPr>
            <w:r/>
            <w:r>
              <w:rPr>
                <w:b/>
                <w:i w:val="0"/>
                <w:color w:val="1A1A1A"/>
                <w:sz w:val="18"/>
              </w:rPr>
              <w:t>Online</w:t>
            </w:r>
            <w:r>
              <w:rPr>
                <w:i w:val="0"/>
                <w:color w:val="1A1A1A"/>
                <w:sz w:val="18"/>
              </w:rPr>
              <w:t>, by video call</w:t>
            </w:r>
          </w:p>
        </w:tc>
        <w:tc>
          <w:tcPr>
            <w:tcW w:type="dxa" w:w="4329"/>
            <w:shd w:val="clear" w:fill="EEF2F7"/>
          </w:tcPr>
          <w:p>
            <w:pPr>
              <w:spacing w:after="40" w:before="40"/>
            </w:pPr>
            <w:r/>
            <w:r>
              <w:rPr>
                <w:i w:val="0"/>
                <w:color w:val="1A1A1A"/>
                <w:sz w:val="18"/>
              </w:rPr>
              <w:t>Teachers join from home or school. This removes some problems and creates others, both described in the full document</w:t>
            </w:r>
          </w:p>
        </w:tc>
      </w:tr>
    </w:tbl>
    <w:p>
      <w:pPr>
        <w:spacing w:after="80"/>
      </w:pPr>
    </w:p>
    <w:p>
      <w:pPr>
        <w:pStyle w:val="Heading2"/>
      </w:pPr>
      <w:r>
        <w:t>How we will know whether it worked</w:t>
      </w:r>
    </w:p>
    <w:p>
      <w:pPr>
        <w:spacing w:after="140"/>
      </w:pPr>
      <w:r>
        <w:rPr>
          <w:i w:val="0"/>
          <w:color w:val="1A1A1A"/>
          <w:sz w:val="20"/>
        </w:rPr>
        <w:t>This is the part that changed most, and it is the part worth your attention. The earlier version could not actually say what success would look like.</w:t>
      </w:r>
    </w:p>
    <w:tbl>
      <w:tblPr>
        <w:tblStyle w:val="TableGrid"/>
        <w:tblW w:type="auto" w:w="0"/>
        <w:jc w:val="center"/>
        <w:tblLayout w:type="fixed"/>
        <w:tblLook w:firstColumn="1" w:firstRow="1" w:lastColumn="0" w:lastRow="0" w:noHBand="0" w:noVBand="1" w:val="04A0"/>
      </w:tblPr>
      <w:tblGrid>
        <w:gridCol w:w="2447"/>
        <w:gridCol w:w="6964"/>
      </w:tblGrid>
      <w:tr>
        <w:tc>
          <w:tcPr>
            <w:tcW w:type="dxa" w:w="2447"/>
          </w:tcPr>
          <w:p>
            <w:pPr>
              <w:spacing w:after="40" w:before="40"/>
            </w:pPr>
            <w:r/>
            <w:r>
              <w:rPr>
                <w:b/>
                <w:i w:val="0"/>
                <w:color w:val="1A1A1A"/>
                <w:sz w:val="18"/>
              </w:rPr>
              <w:t>A clear pass mark for the programme</w:t>
            </w:r>
          </w:p>
        </w:tc>
        <w:tc>
          <w:tcPr>
            <w:tcW w:type="dxa" w:w="6964"/>
          </w:tcPr>
          <w:p>
            <w:pPr>
              <w:spacing w:after="40" w:before="40"/>
            </w:pPr>
            <w:r/>
            <w:r>
              <w:rPr>
                <w:i w:val="0"/>
                <w:color w:val="1A1A1A"/>
                <w:sz w:val="18"/>
              </w:rPr>
              <w:t xml:space="preserve">If </w:t>
            </w:r>
            <w:r>
              <w:rPr>
                <w:b/>
                <w:i w:val="0"/>
                <w:color w:val="1A1A1A"/>
                <w:sz w:val="18"/>
              </w:rPr>
              <w:t>more than 90%</w:t>
            </w:r>
            <w:r>
              <w:rPr>
                <w:i w:val="0"/>
                <w:color w:val="1A1A1A"/>
                <w:sz w:val="18"/>
              </w:rPr>
              <w:t xml:space="preserve"> of teachers can write working programs by the end, the approach worked and we continue. If </w:t>
            </w:r>
            <w:r>
              <w:rPr>
                <w:b/>
                <w:i w:val="0"/>
                <w:color w:val="1A1A1A"/>
                <w:sz w:val="18"/>
              </w:rPr>
              <w:t>fewer than half</w:t>
            </w:r>
            <w:r>
              <w:rPr>
                <w:i w:val="0"/>
                <w:color w:val="1A1A1A"/>
                <w:sz w:val="18"/>
              </w:rPr>
              <w:t xml:space="preserve"> can, it did not, and we go back to the old way of teaching. Anything in between means we adjust and try once more. </w:t>
            </w:r>
            <w:r>
              <w:rPr>
                <w:b/>
                <w:i w:val="0"/>
                <w:color w:val="1A1A1A"/>
                <w:sz w:val="18"/>
              </w:rPr>
              <w:t>These numbers are agreed now, before we start</w:t>
            </w:r>
            <w:r>
              <w:rPr>
                <w:i w:val="0"/>
                <w:color w:val="1A1A1A"/>
                <w:sz w:val="18"/>
              </w:rPr>
              <w:t>, so the result cannot be argued about afterwards</w:t>
            </w:r>
          </w:p>
        </w:tc>
      </w:tr>
      <w:tr>
        <w:tc>
          <w:tcPr>
            <w:tcW w:type="dxa" w:w="2447"/>
            <w:shd w:val="clear" w:fill="EEF2F7"/>
          </w:tcPr>
          <w:p>
            <w:pPr>
              <w:spacing w:after="40" w:before="40"/>
            </w:pPr>
            <w:r/>
            <w:r>
              <w:rPr>
                <w:b/>
                <w:i w:val="0"/>
                <w:color w:val="1A1A1A"/>
                <w:sz w:val="18"/>
              </w:rPr>
              <w:t>A test before the course begins</w:t>
            </w:r>
          </w:p>
        </w:tc>
        <w:tc>
          <w:tcPr>
            <w:tcW w:type="dxa" w:w="6964"/>
            <w:shd w:val="clear" w:fill="EEF2F7"/>
          </w:tcPr>
          <w:p>
            <w:pPr>
              <w:spacing w:after="40" w:before="40"/>
            </w:pPr>
            <w:r/>
            <w:r>
              <w:rPr>
                <w:i w:val="0"/>
                <w:color w:val="1A1A1A"/>
                <w:sz w:val="18"/>
              </w:rPr>
              <w:t xml:space="preserve">Teachers sit a short assessment on day one, before being taught anything. Nobody can fail it. It tells us where each teacher is starting from — so at the end we can report </w:t>
            </w:r>
            <w:r>
              <w:rPr>
                <w:b/>
                <w:i w:val="0"/>
                <w:color w:val="1A1A1A"/>
                <w:sz w:val="18"/>
              </w:rPr>
              <w:t>how much they improved</w:t>
            </w:r>
            <w:r>
              <w:rPr>
                <w:i w:val="0"/>
                <w:color w:val="1A1A1A"/>
                <w:sz w:val="18"/>
              </w:rPr>
              <w:t>, not just where they ended up</w:t>
            </w:r>
          </w:p>
        </w:tc>
      </w:tr>
      <w:tr>
        <w:tc>
          <w:tcPr>
            <w:tcW w:type="dxa" w:w="2447"/>
          </w:tcPr>
          <w:p>
            <w:pPr>
              <w:spacing w:after="40" w:before="40"/>
            </w:pPr>
            <w:r/>
            <w:r>
              <w:rPr>
                <w:b/>
                <w:i w:val="0"/>
                <w:color w:val="1A1A1A"/>
                <w:sz w:val="18"/>
              </w:rPr>
              <w:t>Teaching a real class in March</w:t>
            </w:r>
          </w:p>
        </w:tc>
        <w:tc>
          <w:tcPr>
            <w:tcW w:type="dxa" w:w="6964"/>
          </w:tcPr>
          <w:p>
            <w:pPr>
              <w:spacing w:after="40" w:before="40"/>
            </w:pPr>
            <w:r/>
            <w:r>
              <w:rPr>
                <w:i w:val="0"/>
                <w:color w:val="1A1A1A"/>
                <w:sz w:val="18"/>
              </w:rPr>
              <w:t xml:space="preserve">After the first part, every teacher teaches one lesson to real pupils. This answers a question no written test can: being able to write a program and being able to </w:t>
            </w:r>
            <w:r>
              <w:rPr>
                <w:b/>
                <w:i w:val="0"/>
                <w:color w:val="1A1A1A"/>
                <w:sz w:val="18"/>
              </w:rPr>
              <w:t>teach</w:t>
            </w:r>
            <w:r>
              <w:rPr>
                <w:i w:val="0"/>
                <w:color w:val="1A1A1A"/>
                <w:sz w:val="18"/>
              </w:rPr>
              <w:t xml:space="preserve"> it are different abilities, and a teacher who has one without the other would otherwise go unnoticed</w:t>
            </w:r>
          </w:p>
        </w:tc>
      </w:tr>
      <w:tr>
        <w:tc>
          <w:tcPr>
            <w:tcW w:type="dxa" w:w="2447"/>
            <w:shd w:val="clear" w:fill="EEF2F7"/>
          </w:tcPr>
          <w:p>
            <w:pPr>
              <w:spacing w:after="40" w:before="40"/>
            </w:pPr>
            <w:r/>
            <w:r>
              <w:rPr>
                <w:b/>
                <w:i w:val="0"/>
                <w:color w:val="1A1A1A"/>
                <w:sz w:val="18"/>
              </w:rPr>
              <w:t>Three proper exams instead of four homework tasks</w:t>
            </w:r>
          </w:p>
        </w:tc>
        <w:tc>
          <w:tcPr>
            <w:tcW w:type="dxa" w:w="6964"/>
            <w:shd w:val="clear" w:fill="EEF2F7"/>
          </w:tcPr>
          <w:p>
            <w:pPr>
              <w:spacing w:after="40" w:before="40"/>
            </w:pPr>
            <w:r/>
            <w:r>
              <w:rPr>
                <w:i w:val="0"/>
                <w:color w:val="1A1A1A"/>
                <w:sz w:val="18"/>
              </w:rPr>
              <w:t xml:space="preserve">Supervised and marked, each with three equivalent versions so that neighbours cannot copy. The last one decides who continues to the second part — and teachers are told this </w:t>
            </w:r>
            <w:r>
              <w:rPr>
                <w:b/>
                <w:i w:val="0"/>
                <w:color w:val="1A1A1A"/>
                <w:sz w:val="18"/>
              </w:rPr>
              <w:t>before</w:t>
            </w:r>
            <w:r>
              <w:rPr>
                <w:i w:val="0"/>
                <w:color w:val="1A1A1A"/>
                <w:sz w:val="18"/>
              </w:rPr>
              <w:t xml:space="preserve"> they enrol, not afterwards</w:t>
            </w:r>
          </w:p>
        </w:tc>
      </w:tr>
    </w:tbl>
    <w:p>
      <w:pPr>
        <w:spacing w:after="80"/>
      </w:pPr>
    </w:p>
    <w:p>
      <w:pPr>
        <w:pStyle w:val="Heading2"/>
      </w:pPr>
      <w:r>
        <w:t>Fitting the official school curriculum</w:t>
      </w:r>
    </w:p>
    <w:p>
      <w:pPr>
        <w:spacing w:after="140"/>
      </w:pPr>
      <w:r>
        <w:rPr>
          <w:i w:val="0"/>
          <w:color w:val="1A1A1A"/>
          <w:sz w:val="20"/>
        </w:rPr>
        <w:t xml:space="preserve">The programme has been checked against the state curriculum for Computer Science in Python, approved in September. Every one of its topics has been matched to the part of our programme that prepares teachers for it, and the few that were missing have been added or scheduled. </w:t>
      </w:r>
      <w:r>
        <w:rPr>
          <w:b/>
          <w:i w:val="0"/>
          <w:color w:val="1A1A1A"/>
          <w:sz w:val="20"/>
        </w:rPr>
        <w:t>A teacher finishing the first part will be ready to teach the whole of the first school year.</w:t>
      </w:r>
    </w:p>
    <w:p>
      <w:pPr>
        <w:pStyle w:val="Heading2"/>
      </w:pPr>
      <w:r>
        <w:t>What has not changed</w:t>
      </w:r>
    </w:p>
    <w:p>
      <w:pPr>
        <w:spacing w:after="140"/>
      </w:pPr>
      <w:r>
        <w:rPr>
          <w:i w:val="0"/>
          <w:color w:val="1A1A1A"/>
          <w:sz w:val="20"/>
        </w:rPr>
        <w:t>The reasoning behind the programme, and our honesty about its risks. We still say plainly that the approach may not work — it is possible to produce teachers who can type out programs and still cannot solve problems with them. We also still list the three things we have not yet been able to check: the Armenian wording has not been reviewed by a teacher, the setup instructions have not been tried on a clean computer, and nothing has been taught to a real group yet.</w:t>
      </w:r>
    </w:p>
    <w:tbl>
      <w:tblPr>
        <w:tblW w:type="auto" w:w="0"/>
        <w:tblLayout w:type="fixed"/>
        <w:tblLook w:firstColumn="1" w:firstRow="1" w:lastColumn="0" w:lastRow="0" w:noHBand="0" w:noVBand="1" w:val="04A0"/>
      </w:tblPr>
      <w:tblGrid>
        <w:gridCol w:w="9411"/>
      </w:tblGrid>
      <w:tr>
        <w:tc>
          <w:tcPr>
            <w:tcW w:type="dxa" w:w="9411"/>
            <w:shd w:val="clear" w:fill="EEF2F7"/>
          </w:tcPr>
          <w:p>
            <w:pPr>
              <w:spacing w:after="40"/>
            </w:pPr>
            <w:r/>
            <w:r>
              <w:rPr>
                <w:b/>
                <w:color w:val="1F3A5F"/>
                <w:sz w:val="20"/>
              </w:rPr>
              <w:t>In one sentence</w:t>
            </w:r>
          </w:p>
          <w:p>
            <w:pPr>
              <w:spacing w:after="20"/>
            </w:pPr>
            <w:r>
              <w:rPr>
                <w:b/>
                <w:i w:val="0"/>
                <w:color w:val="1A1A1A"/>
                <w:sz w:val="20"/>
              </w:rPr>
              <w:t>The programme is now longer, taught in smaller groups online, split into two parts, and — most importantly — it now has an agreed definition of success that we committed to before starting.</w:t>
            </w:r>
          </w:p>
        </w:tc>
      </w:tr>
    </w:tbl>
    <w:p>
      <w:pPr>
        <w:spacing w:after="80"/>
      </w:pPr>
    </w:p>
    <w:p>
      <w:pPr>
        <w:spacing w:before="80"/>
        <w:pBdr>
          <w:bottom w:val="single" w:sz="6" w:space="4" w:color="1F3A5F"/>
        </w:pBdr>
      </w:pPr>
    </w:p>
    <w:p>
      <w:pPr>
        <w:spacing w:after="140"/>
      </w:pPr>
      <w:r>
        <w:rPr>
          <w:i w:val="0"/>
          <w:color w:val="5A5A5A"/>
          <w:sz w:val="17"/>
        </w:rPr>
        <w:t>Summary of changes to the programme document, version 1.1 → 1.8 · 6 October 2026. The full document accompanies this page if you would like the detail.</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