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r>
        <w:rPr>
          <w:b/>
          <w:color w:val="1F3A5F"/>
          <w:sz w:val="60"/>
        </w:rPr>
        <w:t>Programme dossier</w:t>
      </w:r>
    </w:p>
    <w:p>
      <w:pPr>
        <w:pBdr>
          <w:bottom w:val="single" w:sz="12" w:space="4" w:color="1F3A5F"/>
        </w:pBdr>
      </w:pPr>
      <w:r>
        <w:rPr>
          <w:color w:val="5A5A5A"/>
          <w:sz w:val="29"/>
        </w:rPr>
        <w:t>What changed since the version you have</w:t>
      </w:r>
    </w:p>
    <w:p/>
    <w:tbl>
      <w:tblPr>
        <w:tblStyle w:val="TableGrid"/>
        <w:tblW w:type="auto" w:w="0"/>
        <w:jc w:val="center"/>
        <w:tblLayout w:type="fixed"/>
        <w:tblLook w:firstColumn="1" w:firstRow="1" w:lastColumn="0" w:lastRow="0" w:noHBand="0" w:noVBand="1" w:val="04A0"/>
      </w:tblPr>
      <w:tblGrid>
        <w:gridCol w:w="1694"/>
        <w:gridCol w:w="7717"/>
      </w:tblGrid>
      <w:tr>
        <w:tc>
          <w:tcPr>
            <w:tcW w:type="dxa" w:w="1694"/>
          </w:tcPr>
          <w:p>
            <w:pPr>
              <w:spacing w:after="40" w:before="40"/>
            </w:pPr>
            <w:r/>
            <w:r>
              <w:rPr>
                <w:i w:val="0"/>
                <w:color w:val="1A1A1A"/>
                <w:sz w:val="19"/>
              </w:rPr>
              <w:t>Accompanies</w:t>
            </w:r>
          </w:p>
        </w:tc>
        <w:tc>
          <w:tcPr>
            <w:tcW w:type="dxa" w:w="7717"/>
          </w:tcPr>
          <w:p>
            <w:pPr>
              <w:spacing w:after="40" w:before="40"/>
            </w:pPr>
            <w:r/>
            <w:r>
              <w:rPr>
                <w:b/>
                <w:i w:val="0"/>
                <w:color w:val="1A1A1A"/>
                <w:sz w:val="19"/>
              </w:rPr>
              <w:t>Python from Zero — Programme dossier</w:t>
            </w:r>
          </w:p>
        </w:tc>
      </w:tr>
      <w:tr>
        <w:tc>
          <w:tcPr>
            <w:tcW w:type="dxa" w:w="1694"/>
            <w:shd w:val="clear" w:fill="EEF2F7"/>
          </w:tcPr>
          <w:p>
            <w:pPr>
              <w:spacing w:after="40" w:before="40"/>
            </w:pPr>
            <w:r/>
            <w:r>
              <w:rPr>
                <w:i w:val="0"/>
                <w:color w:val="1A1A1A"/>
                <w:sz w:val="19"/>
              </w:rPr>
              <w:t>The version you have</w:t>
            </w:r>
          </w:p>
        </w:tc>
        <w:tc>
          <w:tcPr>
            <w:tcW w:type="dxa" w:w="7717"/>
            <w:shd w:val="clear" w:fill="EEF2F7"/>
          </w:tcPr>
          <w:p>
            <w:pPr>
              <w:spacing w:after="40" w:before="40"/>
            </w:pPr>
            <w:r/>
            <w:r>
              <w:rPr>
                <w:b/>
                <w:i w:val="0"/>
                <w:color w:val="1A1A1A"/>
                <w:sz w:val="19"/>
              </w:rPr>
              <w:t>1.1</w:t>
            </w:r>
            <w:r>
              <w:rPr>
                <w:i w:val="0"/>
                <w:color w:val="1A1A1A"/>
                <w:sz w:val="19"/>
              </w:rPr>
              <w:t>, issued Friday 2 October</w:t>
            </w:r>
          </w:p>
        </w:tc>
      </w:tr>
      <w:tr>
        <w:tc>
          <w:tcPr>
            <w:tcW w:type="dxa" w:w="1694"/>
          </w:tcPr>
          <w:p>
            <w:pPr>
              <w:spacing w:after="40" w:before="40"/>
            </w:pPr>
            <w:r/>
            <w:r>
              <w:rPr>
                <w:i w:val="0"/>
                <w:color w:val="1A1A1A"/>
                <w:sz w:val="19"/>
              </w:rPr>
              <w:t>The version enclosed</w:t>
            </w:r>
          </w:p>
        </w:tc>
        <w:tc>
          <w:tcPr>
            <w:tcW w:type="dxa" w:w="7717"/>
          </w:tcPr>
          <w:p>
            <w:pPr>
              <w:spacing w:after="40" w:before="40"/>
            </w:pPr>
            <w:r/>
            <w:r>
              <w:rPr>
                <w:b/>
                <w:i w:val="0"/>
                <w:color w:val="1A1A1A"/>
                <w:sz w:val="19"/>
              </w:rPr>
              <w:t>1.8</w:t>
            </w:r>
            <w:r>
              <w:rPr>
                <w:i w:val="0"/>
                <w:color w:val="1A1A1A"/>
                <w:sz w:val="19"/>
              </w:rPr>
              <w:t>, 6 October 2026</w:t>
            </w:r>
          </w:p>
        </w:tc>
      </w:tr>
      <w:tr>
        <w:tc>
          <w:tcPr>
            <w:tcW w:type="dxa" w:w="1694"/>
            <w:shd w:val="clear" w:fill="EEF2F7"/>
          </w:tcPr>
          <w:p>
            <w:pPr>
              <w:spacing w:after="40" w:before="40"/>
            </w:pPr>
            <w:r/>
            <w:r>
              <w:rPr>
                <w:i w:val="0"/>
                <w:color w:val="1A1A1A"/>
                <w:sz w:val="19"/>
              </w:rPr>
              <w:t>Covers</w:t>
            </w:r>
          </w:p>
        </w:tc>
        <w:tc>
          <w:tcPr>
            <w:tcW w:type="dxa" w:w="7717"/>
            <w:shd w:val="clear" w:fill="EEF2F7"/>
          </w:tcPr>
          <w:p>
            <w:pPr>
              <w:spacing w:after="40" w:before="40"/>
            </w:pPr>
            <w:r/>
            <w:r>
              <w:rPr>
                <w:i w:val="0"/>
                <w:color w:val="1A1A1A"/>
                <w:sz w:val="19"/>
              </w:rPr>
              <w:t>Everything that changed between the two</w:t>
            </w:r>
          </w:p>
        </w:tc>
      </w:tr>
      <w:tr>
        <w:tc>
          <w:tcPr>
            <w:tcW w:type="dxa" w:w="1694"/>
          </w:tcPr>
          <w:p>
            <w:pPr>
              <w:spacing w:after="40" w:before="40"/>
            </w:pPr>
            <w:r/>
            <w:r>
              <w:rPr>
                <w:i w:val="0"/>
                <w:color w:val="1A1A1A"/>
                <w:sz w:val="19"/>
              </w:rPr>
              <w:t>Prepared for</w:t>
            </w:r>
          </w:p>
        </w:tc>
        <w:tc>
          <w:tcPr>
            <w:tcW w:type="dxa" w:w="7717"/>
          </w:tcPr>
          <w:p>
            <w:pPr>
              <w:spacing w:after="40" w:before="40"/>
            </w:pPr>
            <w:r/>
            <w:r>
              <w:rPr>
                <w:i w:val="0"/>
                <w:color w:val="1A1A1A"/>
                <w:sz w:val="19"/>
              </w:rPr>
              <w:t>Fast Foundation</w:t>
            </w:r>
          </w:p>
        </w:tc>
      </w:tr>
      <w:tr>
        <w:tc>
          <w:tcPr>
            <w:tcW w:type="dxa" w:w="1694"/>
            <w:shd w:val="clear" w:fill="EEF2F7"/>
          </w:tcPr>
          <w:p>
            <w:pPr>
              <w:spacing w:after="40" w:before="40"/>
            </w:pPr>
            <w:r/>
            <w:r>
              <w:rPr>
                <w:i w:val="0"/>
                <w:color w:val="1A1A1A"/>
                <w:sz w:val="19"/>
              </w:rPr>
              <w:t>Date</w:t>
            </w:r>
          </w:p>
        </w:tc>
        <w:tc>
          <w:tcPr>
            <w:tcW w:type="dxa" w:w="7717"/>
            <w:shd w:val="clear" w:fill="EEF2F7"/>
          </w:tcPr>
          <w:p>
            <w:pPr>
              <w:spacing w:after="40" w:before="40"/>
            </w:pPr>
            <w:r/>
            <w:r>
              <w:rPr>
                <w:i w:val="0"/>
                <w:color w:val="1A1A1A"/>
                <w:sz w:val="19"/>
              </w:rPr>
              <w:t>6 October 2026</w:t>
            </w:r>
          </w:p>
        </w:tc>
      </w:tr>
    </w:tbl>
    <w:p>
      <w:pPr>
        <w:spacing w:after="80"/>
      </w:pPr>
    </w:p>
    <w:tbl>
      <w:tblPr>
        <w:tblW w:type="auto" w:w="0"/>
        <w:tblLayout w:type="fixed"/>
        <w:tblLook w:firstColumn="1" w:firstRow="1" w:lastColumn="0" w:lastRow="0" w:noHBand="0" w:noVBand="1" w:val="04A0"/>
      </w:tblPr>
      <w:tblGrid>
        <w:gridCol w:w="9411"/>
      </w:tblGrid>
      <w:tr>
        <w:tc>
          <w:tcPr>
            <w:tcW w:type="dxa" w:w="9411"/>
            <w:shd w:val="clear" w:fill="F7F4EC"/>
          </w:tcPr>
          <w:p>
            <w:pPr>
              <w:spacing w:after="40"/>
            </w:pPr>
            <w:r/>
            <w:r>
              <w:rPr>
                <w:b/>
                <w:color w:val="1F3A5F"/>
                <w:sz w:val="20"/>
              </w:rPr>
              <w:t>How to use this</w:t>
            </w:r>
          </w:p>
          <w:p>
            <w:pPr>
              <w:spacing w:after="20"/>
            </w:pPr>
            <w:r>
              <w:rPr>
                <w:i w:val="0"/>
                <w:color w:val="1A1A1A"/>
                <w:sz w:val="20"/>
              </w:rPr>
              <w:t xml:space="preserve">You last saw </w:t>
            </w:r>
            <w:r>
              <w:rPr>
                <w:b/>
                <w:i w:val="0"/>
                <w:color w:val="1A1A1A"/>
                <w:sz w:val="20"/>
              </w:rPr>
              <w:t>version 1.1</w:t>
            </w:r>
            <w:r>
              <w:rPr>
                <w:i w:val="0"/>
                <w:color w:val="1A1A1A"/>
                <w:sz w:val="20"/>
              </w:rPr>
              <w:t xml:space="preserve">, from Friday 2 October. The dossier is now at </w:t>
            </w:r>
            <w:r>
              <w:rPr>
                <w:b/>
                <w:i w:val="0"/>
                <w:color w:val="1A1A1A"/>
                <w:sz w:val="20"/>
              </w:rPr>
              <w:t>version 1.8</w:t>
            </w:r>
            <w:r>
              <w:rPr>
                <w:i w:val="0"/>
                <w:color w:val="1A1A1A"/>
                <w:sz w:val="20"/>
              </w:rPr>
              <w:t xml:space="preserve">. </w:t>
            </w:r>
            <w:r>
              <w:rPr>
                <w:b/>
                <w:i w:val="0"/>
                <w:color w:val="1A1A1A"/>
                <w:sz w:val="20"/>
              </w:rPr>
              <w:t>§1 is the short answer</w:t>
            </w:r>
            <w:r>
              <w:rPr>
                <w:i w:val="0"/>
                <w:color w:val="1A1A1A"/>
                <w:sz w:val="20"/>
              </w:rPr>
              <w:t xml:space="preserve"> — four things changed that affect how the programme should be judged, not merely what it contains.</w:t>
            </w:r>
          </w:p>
          <w:p>
            <w:pPr>
              <w:spacing w:after="20"/>
            </w:pPr>
            <w:r>
              <w:rPr>
                <w:b/>
                <w:i w:val="0"/>
                <w:color w:val="1A1A1A"/>
                <w:sz w:val="20"/>
              </w:rPr>
              <w:t>§2 lists each intermediate version</w:t>
            </w:r>
            <w:r>
              <w:rPr>
                <w:i w:val="0"/>
                <w:color w:val="1A1A1A"/>
                <w:sz w:val="20"/>
              </w:rPr>
              <w:t>, newest first, if you want the detail.</w:t>
            </w:r>
          </w:p>
          <w:p>
            <w:pPr>
              <w:spacing w:after="20"/>
            </w:pPr>
            <w:r>
              <w:rPr>
                <w:b/>
                <w:i w:val="0"/>
                <w:color w:val="1A1A1A"/>
                <w:sz w:val="20"/>
              </w:rPr>
              <w:t>Every version number appears on the dossier's cover and in its footer</w:t>
            </w:r>
            <w:r>
              <w:rPr>
                <w:i w:val="0"/>
                <w:color w:val="1A1A1A"/>
                <w:sz w:val="20"/>
              </w:rPr>
              <w:t>, so you can always tell which one you are holding.</w:t>
            </w:r>
          </w:p>
        </w:tc>
      </w:tr>
    </w:tbl>
    <w:p>
      <w:pPr>
        <w:spacing w:after="80"/>
      </w:pPr>
    </w:p>
    <w:p>
      <w:r>
        <w:br w:type="page"/>
      </w:r>
    </w:p>
    <w:p>
      <w:pPr>
        <w:pStyle w:val="Heading1"/>
        <w:pBdr>
          <w:bottom w:val="single" w:sz="6" w:space="4" w:color="1F3A5F"/>
        </w:pBdr>
      </w:pPr>
      <w:r>
        <w:t>1.  The short answer</w:t>
      </w:r>
    </w:p>
    <w:p>
      <w:pPr>
        <w:spacing w:after="140"/>
      </w:pPr>
      <w:r>
        <w:rPr>
          <w:i w:val="0"/>
          <w:color w:val="1A1A1A"/>
          <w:sz w:val="21"/>
        </w:rPr>
        <w:t xml:space="preserve">Four things changed between version 1.1 and version 1.8. They are stated on their own because each affects </w:t>
      </w:r>
      <w:r>
        <w:rPr>
          <w:b/>
          <w:i w:val="0"/>
          <w:color w:val="1A1A1A"/>
          <w:sz w:val="21"/>
        </w:rPr>
        <w:t>how the programme should be judged</w:t>
      </w:r>
      <w:r>
        <w:rPr>
          <w:i w:val="0"/>
          <w:color w:val="1A1A1A"/>
          <w:sz w:val="21"/>
        </w:rPr>
        <w:t>, not merely what it contains.</w:t>
      </w:r>
    </w:p>
    <w:tbl>
      <w:tblPr>
        <w:tblStyle w:val="TableGrid"/>
        <w:tblW w:type="auto" w:w="0"/>
        <w:jc w:val="center"/>
        <w:tblLayout w:type="fixed"/>
        <w:tblLook w:firstColumn="1" w:firstRow="1" w:lastColumn="0" w:lastRow="0" w:noHBand="0" w:noVBand="1" w:val="04A0"/>
      </w:tblPr>
      <w:tblGrid>
        <w:gridCol w:w="1600"/>
        <w:gridCol w:w="3294"/>
        <w:gridCol w:w="4517"/>
      </w:tblGrid>
      <w:tr>
        <w:trPr>
          <w:tblHeader w:val="true"/>
        </w:trPr>
        <w:tc>
          <w:tcPr>
            <w:tcW w:type="dxa" w:w="1600"/>
            <w:shd w:val="clear" w:fill="1F3A5F"/>
          </w:tcPr>
          <w:p>
            <w:pPr>
              <w:spacing w:after="40" w:before="40"/>
            </w:pPr>
            <w:r/>
            <w:r>
              <w:rPr>
                <w:b/>
                <w:color w:val="FFFFFF"/>
                <w:sz w:val="18"/>
              </w:rPr>
            </w:r>
          </w:p>
        </w:tc>
        <w:tc>
          <w:tcPr>
            <w:tcW w:type="dxa" w:w="3294"/>
            <w:shd w:val="clear" w:fill="1F3A5F"/>
          </w:tcPr>
          <w:p>
            <w:pPr>
              <w:spacing w:after="40" w:before="40"/>
            </w:pPr>
            <w:r/>
            <w:r>
              <w:rPr>
                <w:b/>
                <w:color w:val="FFFFFF"/>
                <w:sz w:val="18"/>
              </w:rPr>
              <w:t>Version 1.1 — what you have</w:t>
            </w:r>
          </w:p>
        </w:tc>
        <w:tc>
          <w:tcPr>
            <w:tcW w:type="dxa" w:w="4517"/>
            <w:shd w:val="clear" w:fill="1F3A5F"/>
          </w:tcPr>
          <w:p>
            <w:pPr>
              <w:spacing w:after="40" w:before="40"/>
            </w:pPr>
            <w:r/>
            <w:r>
              <w:rPr>
                <w:b/>
                <w:color w:val="FFFFFF"/>
                <w:sz w:val="18"/>
              </w:rPr>
              <w:t>Version 1.8 — enclosed</w:t>
            </w:r>
          </w:p>
        </w:tc>
      </w:tr>
      <w:tr>
        <w:tc>
          <w:tcPr>
            <w:tcW w:type="dxa" w:w="1600"/>
          </w:tcPr>
          <w:p>
            <w:pPr>
              <w:spacing w:after="40" w:before="40"/>
            </w:pPr>
            <w:r/>
            <w:r>
              <w:rPr>
                <w:b/>
                <w:i w:val="0"/>
                <w:color w:val="1A1A1A"/>
                <w:sz w:val="18"/>
              </w:rPr>
              <w:t>Shape</w:t>
            </w:r>
          </w:p>
        </w:tc>
        <w:tc>
          <w:tcPr>
            <w:tcW w:type="dxa" w:w="3294"/>
          </w:tcPr>
          <w:p>
            <w:pPr>
              <w:spacing w:after="40" w:before="40"/>
            </w:pPr>
            <w:r/>
            <w:r>
              <w:rPr>
                <w:i w:val="0"/>
                <w:color w:val="1A1A1A"/>
                <w:sz w:val="18"/>
              </w:rPr>
              <w:t>One 20-hour course, 50-minute sessions, groups of up to 16, taught on site</w:t>
            </w:r>
          </w:p>
        </w:tc>
        <w:tc>
          <w:tcPr>
            <w:tcW w:type="dxa" w:w="4517"/>
          </w:tcPr>
          <w:p>
            <w:pPr>
              <w:spacing w:after="40" w:before="40"/>
            </w:pPr>
            <w:r/>
            <w:r>
              <w:rPr>
                <w:b/>
                <w:i w:val="0"/>
                <w:color w:val="1A1A1A"/>
                <w:sz w:val="18"/>
              </w:rPr>
              <w:t>Two parts — Part 1 teaches coding skills over 2 months; Part 2 covers algorithmic tasks and theory over 4.</w:t>
            </w:r>
            <w:r>
              <w:rPr>
                <w:i w:val="0"/>
                <w:color w:val="1A1A1A"/>
                <w:sz w:val="18"/>
              </w:rPr>
              <w:t xml:space="preserve"> 75-minute sessions, 30 hours, groups of 4–8, </w:t>
            </w:r>
            <w:r>
              <w:rPr>
                <w:b/>
                <w:i w:val="0"/>
                <w:color w:val="1A1A1A"/>
                <w:sz w:val="18"/>
              </w:rPr>
              <w:t>taught remotely</w:t>
            </w:r>
          </w:p>
        </w:tc>
      </w:tr>
      <w:tr>
        <w:tc>
          <w:tcPr>
            <w:tcW w:type="dxa" w:w="1600"/>
            <w:shd w:val="clear" w:fill="EEF2F7"/>
          </w:tcPr>
          <w:p>
            <w:pPr>
              <w:spacing w:after="40" w:before="40"/>
            </w:pPr>
            <w:r/>
            <w:r>
              <w:rPr>
                <w:b/>
                <w:i w:val="0"/>
                <w:color w:val="1A1A1A"/>
                <w:sz w:val="18"/>
              </w:rPr>
              <w:t>Assessment</w:t>
            </w:r>
          </w:p>
        </w:tc>
        <w:tc>
          <w:tcPr>
            <w:tcW w:type="dxa" w:w="3294"/>
            <w:shd w:val="clear" w:fill="EEF2F7"/>
          </w:tcPr>
          <w:p>
            <w:pPr>
              <w:spacing w:after="40" w:before="40"/>
            </w:pPr>
            <w:r/>
            <w:r>
              <w:rPr>
                <w:i w:val="0"/>
                <w:color w:val="1A1A1A"/>
                <w:sz w:val="18"/>
              </w:rPr>
              <w:t>Four take-home tests, deliberately not graded</w:t>
            </w:r>
          </w:p>
        </w:tc>
        <w:tc>
          <w:tcPr>
            <w:tcW w:type="dxa" w:w="4517"/>
            <w:shd w:val="clear" w:fill="EEF2F7"/>
          </w:tcPr>
          <w:p>
            <w:pPr>
              <w:spacing w:after="40" w:before="40"/>
            </w:pPr>
            <w:r/>
            <w:r>
              <w:rPr>
                <w:b/>
                <w:i w:val="0"/>
                <w:color w:val="1A1A1A"/>
                <w:sz w:val="18"/>
              </w:rPr>
              <w:t>Three supervised sittings</w:t>
            </w:r>
            <w:r>
              <w:rPr>
                <w:i w:val="0"/>
                <w:color w:val="1A1A1A"/>
                <w:sz w:val="18"/>
              </w:rPr>
              <w:t xml:space="preserve"> designed with our partner colleague — a diagnostic </w:t>
            </w:r>
            <w:r>
              <w:rPr>
                <w:b/>
                <w:i w:val="0"/>
                <w:color w:val="1A1A1A"/>
                <w:sz w:val="18"/>
              </w:rPr>
              <w:t>before</w:t>
            </w:r>
            <w:r>
              <w:rPr>
                <w:i w:val="0"/>
                <w:color w:val="1A1A1A"/>
                <w:sz w:val="18"/>
              </w:rPr>
              <w:t xml:space="preserve"> the course, a midpoint, and a final practical. Scored, with A/B/C variants</w:t>
            </w:r>
          </w:p>
        </w:tc>
      </w:tr>
      <w:tr>
        <w:tc>
          <w:tcPr>
            <w:tcW w:type="dxa" w:w="1600"/>
          </w:tcPr>
          <w:p>
            <w:pPr>
              <w:spacing w:after="40" w:before="40"/>
            </w:pPr>
            <w:r/>
            <w:r>
              <w:rPr>
                <w:b/>
                <w:i w:val="0"/>
                <w:color w:val="1A1A1A"/>
                <w:sz w:val="18"/>
              </w:rPr>
              <w:t>How it is judged</w:t>
            </w:r>
          </w:p>
        </w:tc>
        <w:tc>
          <w:tcPr>
            <w:tcW w:type="dxa" w:w="3294"/>
          </w:tcPr>
          <w:p>
            <w:pPr>
              <w:spacing w:after="40" w:before="40"/>
            </w:pPr>
            <w:r/>
            <w:r>
              <w:rPr>
                <w:i w:val="0"/>
                <w:color w:val="1A1A1A"/>
                <w:sz w:val="18"/>
              </w:rPr>
              <w:t>Checkpoints, with target numbers left to agree</w:t>
            </w:r>
          </w:p>
        </w:tc>
        <w:tc>
          <w:tcPr>
            <w:tcW w:type="dxa" w:w="4517"/>
          </w:tcPr>
          <w:p>
            <w:pPr>
              <w:spacing w:after="40" w:before="40"/>
            </w:pPr>
            <w:r/>
            <w:r>
              <w:rPr>
                <w:b/>
                <w:i w:val="0"/>
                <w:color w:val="1A1A1A"/>
                <w:sz w:val="18"/>
              </w:rPr>
              <w:t>An explicit decision rule</w:t>
            </w:r>
            <w:r>
              <w:rPr>
                <w:i w:val="0"/>
                <w:color w:val="1A1A1A"/>
                <w:sz w:val="18"/>
              </w:rPr>
              <w:t xml:space="preserve">: more than 90% can code = success, under 50% = failure, and the band between defined in advance. Plus a </w:t>
            </w:r>
            <w:r>
              <w:rPr>
                <w:b/>
                <w:i w:val="0"/>
                <w:color w:val="1A1A1A"/>
                <w:sz w:val="18"/>
              </w:rPr>
              <w:t>trial class with real pupils in March</w:t>
            </w:r>
          </w:p>
        </w:tc>
      </w:tr>
      <w:tr>
        <w:tc>
          <w:tcPr>
            <w:tcW w:type="dxa" w:w="1600"/>
            <w:shd w:val="clear" w:fill="EEF2F7"/>
          </w:tcPr>
          <w:p>
            <w:pPr>
              <w:spacing w:after="40" w:before="40"/>
            </w:pPr>
            <w:r/>
            <w:r>
              <w:rPr>
                <w:b/>
                <w:i w:val="0"/>
                <w:color w:val="1A1A1A"/>
                <w:sz w:val="18"/>
              </w:rPr>
              <w:t>Relationship to the state curriculum</w:t>
            </w:r>
          </w:p>
        </w:tc>
        <w:tc>
          <w:tcPr>
            <w:tcW w:type="dxa" w:w="3294"/>
            <w:shd w:val="clear" w:fill="EEF2F7"/>
          </w:tcPr>
          <w:p>
            <w:pPr>
              <w:spacing w:after="40" w:before="40"/>
            </w:pPr>
            <w:r/>
            <w:r>
              <w:rPr>
                <w:i w:val="0"/>
                <w:color w:val="1A1A1A"/>
                <w:sz w:val="18"/>
              </w:rPr>
              <w:t>Not addressed</w:t>
            </w:r>
          </w:p>
        </w:tc>
        <w:tc>
          <w:tcPr>
            <w:tcW w:type="dxa" w:w="4517"/>
            <w:shd w:val="clear" w:fill="EEF2F7"/>
          </w:tcPr>
          <w:p>
            <w:pPr>
              <w:spacing w:after="40" w:before="40"/>
            </w:pPr>
            <w:r/>
            <w:r>
              <w:rPr>
                <w:b/>
                <w:i w:val="0"/>
                <w:color w:val="1A1A1A"/>
                <w:sz w:val="18"/>
              </w:rPr>
              <w:t>Mapped topic by topic</w:t>
            </w:r>
            <w:r>
              <w:rPr>
                <w:i w:val="0"/>
                <w:color w:val="1A1A1A"/>
                <w:sz w:val="18"/>
              </w:rPr>
              <w:t xml:space="preserve"> against order 1875 of 09.09.2026, with every gap named and assigned to a part</w:t>
            </w:r>
          </w:p>
        </w:tc>
      </w:tr>
    </w:tbl>
    <w:p>
      <w:pPr>
        <w:spacing w:after="80"/>
      </w:pPr>
    </w:p>
    <w:tbl>
      <w:tblPr>
        <w:tblW w:type="auto" w:w="0"/>
        <w:tblLayout w:type="fixed"/>
        <w:tblLook w:firstColumn="1" w:firstRow="1" w:lastColumn="0" w:lastRow="0" w:noHBand="0" w:noVBand="1" w:val="04A0"/>
      </w:tblPr>
      <w:tblGrid>
        <w:gridCol w:w="9411"/>
      </w:tblGrid>
      <w:tr>
        <w:tc>
          <w:tcPr>
            <w:tcW w:type="dxa" w:w="9411"/>
            <w:shd w:val="clear" w:fill="EEF2F7"/>
          </w:tcPr>
          <w:p>
            <w:pPr>
              <w:spacing w:after="40"/>
            </w:pPr>
            <w:r/>
            <w:r>
              <w:rPr>
                <w:b/>
                <w:color w:val="1F3A5F"/>
                <w:sz w:val="20"/>
              </w:rPr>
              <w:t>The one change we would most like you to notice</w:t>
            </w:r>
          </w:p>
          <w:p>
            <w:pPr>
              <w:spacing w:after="20"/>
            </w:pPr>
            <w:r>
              <w:rPr>
                <w:b/>
                <w:i w:val="0"/>
                <w:color w:val="1A1A1A"/>
                <w:sz w:val="20"/>
              </w:rPr>
              <w:t>Version 1.1 could not say what success meant.</w:t>
            </w:r>
            <w:r>
              <w:rPr>
                <w:i w:val="0"/>
                <w:color w:val="1A1A1A"/>
                <w:sz w:val="20"/>
              </w:rPr>
              <w:t xml:space="preserve"> It listed checkpoints and said the numbers should be agreed before the first session.</w:t>
            </w:r>
          </w:p>
          <w:p>
            <w:pPr>
              <w:spacing w:after="20"/>
            </w:pPr>
            <w:r>
              <w:rPr>
                <w:b/>
                <w:i w:val="0"/>
                <w:color w:val="1A1A1A"/>
                <w:sz w:val="20"/>
              </w:rPr>
              <w:t>Version 1.8 states the rule</w:t>
            </w:r>
            <w:r>
              <w:rPr>
                <w:i w:val="0"/>
                <w:color w:val="1A1A1A"/>
                <w:sz w:val="20"/>
              </w:rPr>
              <w:t>, defines "can code" so it can be counted from artefacts the course already produces, and names the one measurement that tests the programme's own assumption rather than whether it ran smoothly. That is in §8 of the dossier.</w:t>
            </w:r>
          </w:p>
        </w:tc>
      </w:tr>
    </w:tbl>
    <w:p>
      <w:pPr>
        <w:spacing w:after="80"/>
      </w:pPr>
    </w:p>
    <w:p>
      <w:pPr>
        <w:pStyle w:val="Heading1"/>
        <w:pBdr>
          <w:bottom w:val="single" w:sz="6" w:space="4" w:color="1F3A5F"/>
        </w:pBdr>
      </w:pPr>
      <w:r>
        <w:t>2.  Version by version</w:t>
      </w:r>
    </w:p>
    <w:p>
      <w:pPr>
        <w:spacing w:after="140"/>
      </w:pPr>
      <w:r>
        <w:rPr>
          <w:i/>
          <w:color w:val="1A1A1A"/>
          <w:sz w:val="21"/>
        </w:rPr>
        <w:t>Newest first. Read down to the version you last saw.</w:t>
      </w:r>
    </w:p>
    <w:p>
      <w:pPr>
        <w:pStyle w:val="Heading2"/>
      </w:pPr>
      <w:r>
        <w:t>Versions 1.7 and 1.8 — 6 October</w:t>
      </w:r>
    </w:p>
    <w:p>
      <w:pPr>
        <w:spacing w:after="140"/>
      </w:pPr>
      <w:r>
        <w:rPr>
          <w:b/>
          <w:i w:val="0"/>
          <w:color w:val="1A1A1A"/>
          <w:sz w:val="21"/>
        </w:rPr>
        <w:t>Clarity, and three corrections.</w:t>
      </w:r>
    </w:p>
    <w:p>
      <w:pPr>
        <w:pStyle w:val="ListBullet"/>
        <w:spacing w:after="60"/>
        <w:ind w:left="397"/>
      </w:pPr>
      <w:r>
        <w:rPr>
          <w:b/>
          <w:i w:val="0"/>
          <w:color w:val="1A1A1A"/>
          <w:sz w:val="21"/>
        </w:rPr>
        <w:t>Corrected the hours.</w:t>
      </w:r>
      <w:r>
        <w:rPr>
          <w:i w:val="0"/>
          <w:color w:val="1A1A1A"/>
          <w:sz w:val="21"/>
        </w:rPr>
        <w:t xml:space="preserve"> One sentence still said the 24 sessions were 20 hours; they are </w:t>
      </w:r>
      <w:r>
        <w:rPr>
          <w:b/>
          <w:i w:val="0"/>
          <w:color w:val="1A1A1A"/>
          <w:sz w:val="21"/>
        </w:rPr>
        <w:t>30</w:t>
      </w:r>
      <w:r>
        <w:rPr>
          <w:i w:val="0"/>
          <w:color w:val="1A1A1A"/>
          <w:sz w:val="21"/>
        </w:rPr>
        <w:t xml:space="preserve"> (24 × 75 minutes). And the status section still listed </w:t>
      </w:r>
      <w:r>
        <w:rPr>
          <w:i/>
          <w:color w:val="1A1A1A"/>
          <w:sz w:val="21"/>
        </w:rPr>
        <w:t>"session plans are still written to 50 minutes"</w:t>
      </w:r>
      <w:r>
        <w:rPr>
          <w:i w:val="0"/>
          <w:color w:val="1A1A1A"/>
          <w:sz w:val="21"/>
        </w:rPr>
        <w:t xml:space="preserve"> as outstanding — that work is finished, so the item is gone.</w:t>
      </w:r>
    </w:p>
    <w:p>
      <w:pPr>
        <w:pStyle w:val="ListBullet"/>
        <w:spacing w:after="60"/>
        <w:ind w:left="397"/>
      </w:pPr>
      <w:r>
        <w:rPr>
          <w:b/>
          <w:i w:val="0"/>
          <w:color w:val="1A1A1A"/>
          <w:sz w:val="21"/>
        </w:rPr>
        <w:t>Fixed an ambiguity you may have hit:</w:t>
      </w:r>
      <w:r>
        <w:rPr>
          <w:i w:val="0"/>
          <w:color w:val="1A1A1A"/>
          <w:sz w:val="21"/>
        </w:rPr>
        <w:t xml:space="preserve"> earlier versions said </w:t>
      </w:r>
      <w:r>
        <w:rPr>
          <w:i/>
          <w:color w:val="1A1A1A"/>
          <w:sz w:val="21"/>
        </w:rPr>
        <w:t>"Part 1 of six months"</w:t>
      </w:r>
      <w:r>
        <w:rPr>
          <w:i w:val="0"/>
          <w:color w:val="1A1A1A"/>
          <w:sz w:val="21"/>
        </w:rPr>
        <w:t xml:space="preserve">, which reads as though Part 1 itself lasts six months. Every document now states plainly that </w:t>
      </w:r>
      <w:r>
        <w:rPr>
          <w:b/>
          <w:i w:val="0"/>
          <w:color w:val="1A1A1A"/>
          <w:sz w:val="21"/>
        </w:rPr>
        <w:t>Part 1 is 2 months and Part 2 is 4</w:t>
      </w:r>
      <w:r>
        <w:rPr>
          <w:i w:val="0"/>
          <w:color w:val="1A1A1A"/>
          <w:sz w:val="21"/>
        </w:rPr>
        <w:t>, and says what each part teaches.</w:t>
      </w:r>
    </w:p>
    <w:p>
      <w:pPr>
        <w:pStyle w:val="ListBullet"/>
        <w:spacing w:after="60"/>
        <w:ind w:left="397"/>
      </w:pPr>
      <w:r>
        <w:rPr>
          <w:b/>
          <w:i w:val="0"/>
          <w:color w:val="1A1A1A"/>
          <w:sz w:val="21"/>
        </w:rPr>
        <w:t>Corrected the Part 2 plan.</w:t>
      </w:r>
      <w:r>
        <w:rPr>
          <w:i w:val="0"/>
          <w:color w:val="1A1A1A"/>
          <w:sz w:val="21"/>
        </w:rPr>
        <w:t xml:space="preserve"> The stage table still showed an older order — recursion after classes — and omitted libraries entirely. It now matches the roadmap: theory, </w:t>
      </w:r>
      <w:r>
        <w:rPr>
          <w:b/>
          <w:i w:val="0"/>
          <w:color w:val="1A1A1A"/>
          <w:sz w:val="21"/>
        </w:rPr>
        <w:t>recursion</w:t>
      </w:r>
      <w:r>
        <w:rPr>
          <w:i w:val="0"/>
          <w:color w:val="1A1A1A"/>
          <w:sz w:val="21"/>
        </w:rPr>
        <w:t>, algorithmic tasks, bigger projects, classes and inheritance, libraries and environments.</w:t>
      </w:r>
    </w:p>
    <w:p>
      <w:pPr>
        <w:pStyle w:val="ListBullet"/>
        <w:spacing w:after="60"/>
        <w:ind w:left="397"/>
      </w:pPr>
      <w:r>
        <w:rPr>
          <w:i w:val="0"/>
          <w:color w:val="1A1A1A"/>
          <w:sz w:val="21"/>
        </w:rPr>
        <w:t>Added a structure table to the cover and to the opening section, so the two-part shape cannot be missed.</w:t>
      </w:r>
    </w:p>
    <w:p>
      <w:pPr>
        <w:pStyle w:val="Heading2"/>
      </w:pPr>
      <w:r>
        <w:t>Version 1.6 — 6 October</w:t>
      </w:r>
    </w:p>
    <w:p>
      <w:pPr>
        <w:spacing w:after="140"/>
      </w:pPr>
      <w:r>
        <w:rPr>
          <w:b/>
          <w:i w:val="0"/>
          <w:color w:val="1A1A1A"/>
          <w:sz w:val="21"/>
        </w:rPr>
        <w:t>Session length confirmed at 75 minutes.</w:t>
      </w:r>
    </w:p>
    <w:p>
      <w:pPr>
        <w:pStyle w:val="ListBullet"/>
        <w:spacing w:after="60"/>
        <w:ind w:left="397"/>
      </w:pPr>
      <w:r>
        <w:rPr>
          <w:i w:val="0"/>
          <w:color w:val="1A1A1A"/>
          <w:sz w:val="21"/>
        </w:rPr>
        <w:t xml:space="preserve">Sessions are </w:t>
      </w:r>
      <w:r>
        <w:rPr>
          <w:b/>
          <w:i w:val="0"/>
          <w:color w:val="1A1A1A"/>
          <w:sz w:val="21"/>
        </w:rPr>
        <w:t>75 minutes</w:t>
      </w:r>
      <w:r>
        <w:rPr>
          <w:i w:val="0"/>
          <w:color w:val="1A1A1A"/>
          <w:sz w:val="21"/>
        </w:rPr>
        <w:t xml:space="preserve">, three times a week: 24 × 75 = </w:t>
      </w:r>
      <w:r>
        <w:rPr>
          <w:b/>
          <w:i w:val="0"/>
          <w:color w:val="1A1A1A"/>
          <w:sz w:val="21"/>
        </w:rPr>
        <w:t>30 hours</w:t>
      </w:r>
      <w:r>
        <w:rPr>
          <w:i w:val="0"/>
          <w:color w:val="1A1A1A"/>
          <w:sz w:val="21"/>
        </w:rPr>
        <w:t>. Earlier versions described the plan as 75 minutes while the detailed session plans were still written to 50; those plans have now been rebuilt, so the figures agree.</w:t>
      </w:r>
    </w:p>
    <w:p>
      <w:pPr>
        <w:pStyle w:val="ListBullet"/>
        <w:spacing w:after="60"/>
        <w:ind w:left="397"/>
      </w:pPr>
      <w:r>
        <w:rPr>
          <w:i w:val="0"/>
          <w:color w:val="1A1A1A"/>
          <w:sz w:val="21"/>
        </w:rPr>
        <w:t xml:space="preserve">The extra 25 minutes per session went </w:t>
      </w:r>
      <w:r>
        <w:rPr>
          <w:b/>
          <w:i w:val="0"/>
          <w:color w:val="1A1A1A"/>
          <w:sz w:val="21"/>
        </w:rPr>
        <w:t>entirely to hands-on work</w:t>
      </w:r>
      <w:r>
        <w:rPr>
          <w:i w:val="0"/>
          <w:color w:val="1A1A1A"/>
          <w:sz w:val="21"/>
        </w:rPr>
        <w:t xml:space="preserve"> — the 12-minute ceiling on explanation did not move. A standard session is now 71% hands-on, up from 60%.</w:t>
      </w:r>
    </w:p>
    <w:p>
      <w:pPr>
        <w:pStyle w:val="Heading2"/>
      </w:pPr>
      <w:r>
        <w:t>Version 1.5 — 6 October</w:t>
      </w:r>
    </w:p>
    <w:p>
      <w:pPr>
        <w:spacing w:after="140"/>
      </w:pPr>
      <w:r>
        <w:rPr>
          <w:b/>
          <w:i w:val="0"/>
          <w:color w:val="1A1A1A"/>
          <w:sz w:val="21"/>
        </w:rPr>
        <w:t>The trial class, and the final assessment as a gate.</w:t>
      </w:r>
    </w:p>
    <w:p>
      <w:pPr>
        <w:pStyle w:val="ListBullet"/>
        <w:spacing w:after="60"/>
        <w:ind w:left="397"/>
      </w:pPr>
      <w:r>
        <w:rPr>
          <w:b/>
          <w:i w:val="0"/>
          <w:color w:val="1A1A1A"/>
          <w:sz w:val="21"/>
        </w:rPr>
        <w:t>Added the trial class in March</w:t>
      </w:r>
      <w:r>
        <w:rPr>
          <w:i w:val="0"/>
          <w:color w:val="1A1A1A"/>
          <w:sz w:val="21"/>
        </w:rPr>
        <w:t xml:space="preserve">, as a </w:t>
      </w:r>
      <w:r>
        <w:rPr>
          <w:i/>
          <w:color w:val="1A1A1A"/>
          <w:sz w:val="21"/>
        </w:rPr>
        <w:t>second</w:t>
      </w:r>
      <w:r>
        <w:rPr>
          <w:i w:val="0"/>
          <w:color w:val="1A1A1A"/>
          <w:sz w:val="21"/>
        </w:rPr>
        <w:t xml:space="preserve"> criterion. It measures whether a teacher can </w:t>
      </w:r>
      <w:r>
        <w:rPr>
          <w:b/>
          <w:i w:val="0"/>
          <w:color w:val="1A1A1A"/>
          <w:sz w:val="21"/>
        </w:rPr>
        <w:t>teach</w:t>
      </w:r>
      <w:r>
        <w:rPr>
          <w:i w:val="0"/>
          <w:color w:val="1A1A1A"/>
          <w:sz w:val="21"/>
        </w:rPr>
        <w:t xml:space="preserve"> what they can code — a different ability from coding, and the one nothing else in the programme would detect.</w:t>
      </w:r>
    </w:p>
    <w:p>
      <w:pPr>
        <w:pStyle w:val="ListBullet"/>
        <w:spacing w:after="60"/>
        <w:ind w:left="397"/>
      </w:pPr>
      <w:r>
        <w:rPr>
          <w:b/>
          <w:i w:val="0"/>
          <w:color w:val="1A1A1A"/>
          <w:sz w:val="21"/>
        </w:rPr>
        <w:t>The final assessment now decides who continues to Part 2.</w:t>
      </w:r>
      <w:r>
        <w:rPr>
          <w:i w:val="0"/>
          <w:color w:val="1A1A1A"/>
          <w:sz w:val="21"/>
        </w:rPr>
        <w:t xml:space="preserve"> Stated with the consequence that follows: because it is consequential for the individual, it is announced </w:t>
      </w:r>
      <w:r>
        <w:rPr>
          <w:b/>
          <w:i w:val="0"/>
          <w:color w:val="1A1A1A"/>
          <w:sz w:val="21"/>
        </w:rPr>
        <w:t>before the course starts</w:t>
      </w:r>
      <w:r>
        <w:rPr>
          <w:i w:val="0"/>
          <w:color w:val="1A1A1A"/>
          <w:sz w:val="21"/>
        </w:rPr>
        <w:t>, in the recruitment text and at enrolment, rather than sprung afterwards.</w:t>
      </w:r>
    </w:p>
    <w:p>
      <w:pPr>
        <w:pStyle w:val="Heading2"/>
      </w:pPr>
      <w:r>
        <w:t>Version 1.4 — 6 October</w:t>
      </w:r>
    </w:p>
    <w:p>
      <w:pPr>
        <w:spacing w:after="140"/>
      </w:pPr>
      <w:r>
        <w:rPr>
          <w:b/>
          <w:i w:val="0"/>
          <w:color w:val="1A1A1A"/>
          <w:sz w:val="21"/>
        </w:rPr>
        <w:t>Aligned with the state curriculum.</w:t>
      </w:r>
    </w:p>
    <w:p>
      <w:pPr>
        <w:pStyle w:val="ListBullet"/>
        <w:spacing w:after="60"/>
        <w:ind w:left="397"/>
      </w:pPr>
      <w:r>
        <w:rPr>
          <w:b/>
          <w:i w:val="0"/>
          <w:color w:val="1A1A1A"/>
          <w:sz w:val="21"/>
        </w:rPr>
        <w:t>New section mapping the programme against «ԱԲ սերունդ»: Computer Science in Python</w:t>
      </w:r>
      <w:r>
        <w:rPr>
          <w:i w:val="0"/>
          <w:color w:val="1A1A1A"/>
          <w:sz w:val="21"/>
        </w:rPr>
        <w:t>, order 1875 of 09.09.2026 — all 24 pupil topics and 193 hours, and which part of our programme covers each.</w:t>
      </w:r>
    </w:p>
    <w:p>
      <w:pPr>
        <w:pStyle w:val="ListBullet"/>
        <w:spacing w:after="60"/>
        <w:ind w:left="397"/>
      </w:pPr>
      <w:r>
        <w:rPr>
          <w:i w:val="0"/>
          <w:color w:val="1A1A1A"/>
          <w:sz w:val="21"/>
        </w:rPr>
        <w:t xml:space="preserve">Reordered the course so that </w:t>
      </w:r>
      <w:r>
        <w:rPr>
          <w:b/>
          <w:i w:val="0"/>
          <w:color w:val="1A1A1A"/>
          <w:sz w:val="21"/>
        </w:rPr>
        <w:t>every data type precedes conditions and loops</w:t>
      </w:r>
      <w:r>
        <w:rPr>
          <w:i w:val="0"/>
          <w:color w:val="1A1A1A"/>
          <w:sz w:val="21"/>
        </w:rPr>
        <w:t>. Dictionaries moved from day 14 to day 8; the discovery days are now 6, 8, 11, 17 and 22.</w:t>
      </w:r>
    </w:p>
    <w:p>
      <w:pPr>
        <w:pStyle w:val="ListBullet"/>
        <w:spacing w:after="60"/>
        <w:ind w:left="397"/>
      </w:pPr>
      <w:r>
        <w:rPr>
          <w:b/>
          <w:i w:val="0"/>
          <w:color w:val="1A1A1A"/>
          <w:sz w:val="21"/>
        </w:rPr>
        <w:t>Added tuples and sets</w:t>
      </w:r>
      <w:r>
        <w:rPr>
          <w:i w:val="0"/>
          <w:color w:val="1A1A1A"/>
          <w:sz w:val="21"/>
        </w:rPr>
        <w:t>, because the state curriculum teaches them in the pupils' first semester. Shown and compared, not drilled.</w:t>
      </w:r>
    </w:p>
    <w:p>
      <w:pPr>
        <w:pStyle w:val="ListBullet"/>
        <w:spacing w:after="60"/>
        <w:ind w:left="397"/>
      </w:pPr>
      <w:r>
        <w:rPr>
          <w:i w:val="0"/>
          <w:color w:val="1A1A1A"/>
          <w:sz w:val="21"/>
        </w:rPr>
        <w:t>Recorded the two orderings where we diverge from the state document deliberately, and why.</w:t>
      </w:r>
    </w:p>
    <w:p>
      <w:pPr>
        <w:pStyle w:val="Heading2"/>
      </w:pPr>
      <w:r>
        <w:t>Version 1.3 — 6 October</w:t>
      </w:r>
    </w:p>
    <w:p>
      <w:pPr>
        <w:spacing w:after="140"/>
      </w:pPr>
      <w:r>
        <w:rPr>
          <w:b/>
          <w:i w:val="0"/>
          <w:color w:val="1A1A1A"/>
          <w:sz w:val="21"/>
        </w:rPr>
        <w:t>Remote delivery, smaller groups, and the decision rule.</w:t>
      </w:r>
    </w:p>
    <w:p>
      <w:pPr>
        <w:pStyle w:val="ListBullet"/>
        <w:spacing w:after="60"/>
        <w:ind w:left="397"/>
      </w:pPr>
      <w:r>
        <w:rPr>
          <w:b/>
          <w:i w:val="0"/>
          <w:color w:val="1A1A1A"/>
          <w:sz w:val="21"/>
        </w:rPr>
        <w:t>The course is taught remotely</w:t>
      </w:r>
      <w:r>
        <w:rPr>
          <w:i w:val="0"/>
          <w:color w:val="1A1A1A"/>
          <w:sz w:val="21"/>
        </w:rPr>
        <w:t>, over video with screen sharing. Added what that changes: it removes the worst first-day risk, and removes the best mitigation — an instructor who can walk over and look at a screen.</w:t>
      </w:r>
    </w:p>
    <w:p>
      <w:pPr>
        <w:pStyle w:val="ListBullet"/>
        <w:spacing w:after="60"/>
        <w:ind w:left="397"/>
      </w:pPr>
      <w:r>
        <w:rPr>
          <w:b/>
          <w:i w:val="0"/>
          <w:color w:val="1A1A1A"/>
          <w:sz w:val="21"/>
        </w:rPr>
        <w:t>Groups are 4–8</w:t>
      </w:r>
      <w:r>
        <w:rPr>
          <w:i w:val="0"/>
          <w:color w:val="1A1A1A"/>
          <w:sz w:val="21"/>
        </w:rPr>
        <w:t>, not up to 16. Fewer than four and there is no discussion; more than eight and the instructor cannot check on everyone remotely.</w:t>
      </w:r>
    </w:p>
    <w:p>
      <w:pPr>
        <w:pStyle w:val="ListBullet"/>
        <w:spacing w:after="60"/>
        <w:ind w:left="397"/>
      </w:pPr>
      <w:r>
        <w:rPr>
          <w:b/>
          <w:i w:val="0"/>
          <w:color w:val="1A1A1A"/>
          <w:sz w:val="21"/>
        </w:rPr>
        <w:t>Added the decision rule</w:t>
      </w:r>
      <w:r>
        <w:rPr>
          <w:i w:val="0"/>
          <w:color w:val="1A1A1A"/>
          <w:sz w:val="21"/>
        </w:rPr>
        <w:t xml:space="preserve"> — the success and failure thresholds, and what "can code" means in countable terms.</w:t>
      </w:r>
    </w:p>
    <w:p>
      <w:pPr>
        <w:pStyle w:val="ListBullet"/>
        <w:spacing w:after="60"/>
        <w:ind w:left="397"/>
      </w:pPr>
      <w:r>
        <w:rPr>
          <w:b/>
          <w:i w:val="0"/>
          <w:color w:val="1A1A1A"/>
          <w:sz w:val="21"/>
        </w:rPr>
        <w:t>Added Part 2</w:t>
      </w:r>
      <w:r>
        <w:rPr>
          <w:i w:val="0"/>
          <w:color w:val="1A1A1A"/>
          <w:sz w:val="21"/>
        </w:rPr>
        <w:t xml:space="preserve"> as a four-month plan, and flagged the risk inside it: whether our method carries over to algorithmic thinking is unproven.</w:t>
      </w:r>
    </w:p>
    <w:p>
      <w:pPr>
        <w:pStyle w:val="ListBullet"/>
        <w:spacing w:after="60"/>
        <w:ind w:left="397"/>
      </w:pPr>
      <w:r>
        <w:rPr>
          <w:i w:val="0"/>
          <w:color w:val="1A1A1A"/>
          <w:sz w:val="21"/>
        </w:rPr>
        <w:t>Added the enrolment screening that replaces the instructor's physical presence.</w:t>
      </w:r>
    </w:p>
    <w:p>
      <w:pPr>
        <w:pStyle w:val="Heading2"/>
      </w:pPr>
      <w:r>
        <w:t>Version 1.2 — 3 October</w:t>
      </w:r>
    </w:p>
    <w:p>
      <w:pPr>
        <w:spacing w:after="140"/>
      </w:pPr>
      <w:r>
        <w:rPr>
          <w:b/>
          <w:i w:val="0"/>
          <w:color w:val="1A1A1A"/>
          <w:sz w:val="21"/>
        </w:rPr>
        <w:t>Three assessments instead of four.</w:t>
      </w:r>
    </w:p>
    <w:p>
      <w:pPr>
        <w:pStyle w:val="ListBullet"/>
        <w:spacing w:after="60"/>
        <w:ind w:left="397"/>
      </w:pPr>
      <w:r>
        <w:rPr>
          <w:i w:val="0"/>
          <w:color w:val="1A1A1A"/>
          <w:sz w:val="21"/>
        </w:rPr>
        <w:t xml:space="preserve">Adopted the assessment design from our partner colleague: </w:t>
      </w:r>
      <w:r>
        <w:rPr>
          <w:b/>
          <w:i w:val="0"/>
          <w:color w:val="1A1A1A"/>
          <w:sz w:val="21"/>
        </w:rPr>
        <w:t>a diagnostic before day 1, a midpoint, and a final practical</w:t>
      </w:r>
      <w:r>
        <w:rPr>
          <w:i w:val="0"/>
          <w:color w:val="1A1A1A"/>
          <w:sz w:val="21"/>
        </w:rPr>
        <w:t>, replacing four take-home tests.</w:t>
      </w:r>
    </w:p>
    <w:p>
      <w:pPr>
        <w:pStyle w:val="ListBullet"/>
        <w:spacing w:after="60"/>
        <w:ind w:left="397"/>
      </w:pPr>
      <w:r>
        <w:rPr>
          <w:i w:val="0"/>
          <w:color w:val="1A1A1A"/>
          <w:sz w:val="21"/>
        </w:rPr>
        <w:t xml:space="preserve">The diagnostic is the significant addition — it gives a </w:t>
      </w:r>
      <w:r>
        <w:rPr>
          <w:b/>
          <w:i w:val="0"/>
          <w:color w:val="1A1A1A"/>
          <w:sz w:val="21"/>
        </w:rPr>
        <w:t>before-measurement</w:t>
      </w:r>
      <w:r>
        <w:rPr>
          <w:i w:val="0"/>
          <w:color w:val="1A1A1A"/>
          <w:sz w:val="21"/>
        </w:rPr>
        <w:t xml:space="preserve">, so the programme can report </w:t>
      </w:r>
      <w:r>
        <w:rPr>
          <w:i/>
          <w:color w:val="1A1A1A"/>
          <w:sz w:val="21"/>
        </w:rPr>
        <w:t>change</w:t>
      </w:r>
      <w:r>
        <w:rPr>
          <w:i w:val="0"/>
          <w:color w:val="1A1A1A"/>
          <w:sz w:val="21"/>
        </w:rPr>
        <w:t xml:space="preserve"> rather than only an endpoint.</w:t>
      </w:r>
    </w:p>
    <w:p>
      <w:pPr>
        <w:pStyle w:val="ListBullet"/>
        <w:spacing w:after="60"/>
        <w:ind w:left="397"/>
      </w:pPr>
      <w:r>
        <w:rPr>
          <w:i w:val="0"/>
          <w:color w:val="1A1A1A"/>
          <w:sz w:val="21"/>
        </w:rPr>
        <w:t>Added the transfer question to the final assessment, marked separately and never reported as a pass rate.</w:t>
      </w:r>
    </w:p>
    <w:p>
      <w:pPr>
        <w:pStyle w:val="Heading2"/>
      </w:pPr>
      <w:r>
        <w:t>Version 1.1 — 2 October  (the version you have)</w:t>
      </w:r>
    </w:p>
    <w:p>
      <w:pPr>
        <w:spacing w:after="140"/>
      </w:pPr>
      <w:r>
        <w:rPr>
          <w:i/>
          <w:color w:val="1A1A1A"/>
          <w:sz w:val="21"/>
        </w:rPr>
        <w:t>Shortened by about a third at your request, from 6,081 words to 4,660. Repetition was removed rather than content: a milestone table that duplicated the curriculum, a materials list that duplicated the appendix, and two overlapping fact tables. Nothing needed to judge the programme was cut.</w:t>
      </w:r>
    </w:p>
    <w:p>
      <w:r>
        <w:br w:type="page"/>
      </w:r>
    </w:p>
    <w:p>
      <w:pPr>
        <w:pStyle w:val="Heading1"/>
        <w:pBdr>
          <w:bottom w:val="single" w:sz="6" w:space="4" w:color="1F3A5F"/>
        </w:pBdr>
      </w:pPr>
      <w:r>
        <w:t>3.  What has not changed</w:t>
      </w:r>
    </w:p>
    <w:p>
      <w:pPr>
        <w:spacing w:after="140"/>
      </w:pPr>
      <w:r>
        <w:rPr>
          <w:i w:val="0"/>
          <w:color w:val="1A1A1A"/>
          <w:sz w:val="21"/>
        </w:rPr>
        <w:t>Worth stating, because it is the part of the programme we would least like to see quietly drift:</w:t>
      </w:r>
    </w:p>
    <w:p>
      <w:pPr>
        <w:pStyle w:val="ListBullet"/>
        <w:spacing w:after="60"/>
        <w:ind w:left="397"/>
      </w:pPr>
      <w:r>
        <w:rPr>
          <w:b/>
          <w:i w:val="0"/>
          <w:color w:val="1A1A1A"/>
          <w:sz w:val="21"/>
        </w:rPr>
        <w:t>The diagnosis.</w:t>
      </w:r>
      <w:r>
        <w:rPr>
          <w:i w:val="0"/>
          <w:color w:val="1A1A1A"/>
          <w:sz w:val="21"/>
        </w:rPr>
        <w:t xml:space="preserve"> Two years of conventional teaching did not produce teachers who can write a program; our reading is that the bottleneck is coding fluency, not missing theory.</w:t>
      </w:r>
    </w:p>
    <w:p>
      <w:pPr>
        <w:pStyle w:val="ListBullet"/>
        <w:spacing w:after="60"/>
        <w:ind w:left="397"/>
      </w:pPr>
      <w:r>
        <w:rPr>
          <w:b/>
          <w:i w:val="0"/>
          <w:color w:val="1A1A1A"/>
          <w:sz w:val="21"/>
        </w:rPr>
        <w:t>The method.</w:t>
      </w:r>
      <w:r>
        <w:rPr>
          <w:i w:val="0"/>
          <w:color w:val="1A1A1A"/>
          <w:sz w:val="21"/>
        </w:rPr>
        <w:t xml:space="preserve"> A real classroom task, done the long way with what they already know, and the tool that collapses it arriving </w:t>
      </w:r>
      <w:r>
        <w:rPr>
          <w:b/>
          <w:i w:val="0"/>
          <w:color w:val="1A1A1A"/>
          <w:sz w:val="21"/>
        </w:rPr>
        <w:t>in the same session</w:t>
      </w:r>
      <w:r>
        <w:rPr>
          <w:i w:val="0"/>
          <w:color w:val="1A1A1A"/>
          <w:sz w:val="21"/>
        </w:rPr>
        <w:t>.</w:t>
      </w:r>
    </w:p>
    <w:p>
      <w:pPr>
        <w:pStyle w:val="ListBullet"/>
        <w:spacing w:after="60"/>
        <w:ind w:left="397"/>
      </w:pPr>
      <w:r>
        <w:rPr>
          <w:b/>
          <w:i w:val="0"/>
          <w:color w:val="1A1A1A"/>
          <w:sz w:val="21"/>
        </w:rPr>
        <w:t>The honesty about risk.</w:t>
      </w:r>
      <w:r>
        <w:rPr>
          <w:i w:val="0"/>
          <w:color w:val="1A1A1A"/>
          <w:sz w:val="21"/>
        </w:rPr>
        <w:t xml:space="preserve"> Every version has said, in the same words, that the core assumption may simply be wrong — that it is possible to produce teachers who type Python fluently and still cannot solve a problem with it.</w:t>
      </w:r>
    </w:p>
    <w:p>
      <w:pPr>
        <w:pStyle w:val="ListBullet"/>
        <w:spacing w:after="60"/>
        <w:ind w:left="397"/>
      </w:pPr>
      <w:r>
        <w:rPr>
          <w:b/>
          <w:i w:val="0"/>
          <w:color w:val="1A1A1A"/>
          <w:sz w:val="21"/>
        </w:rPr>
        <w:t>The three unverified items</w:t>
      </w:r>
      <w:r>
        <w:rPr>
          <w:i w:val="0"/>
          <w:color w:val="1A1A1A"/>
          <w:sz w:val="21"/>
        </w:rPr>
        <w:t>, still named in §10: the Armenian terminology has not been reviewed by a native speaker, the installation instructions have not been followed on a clean machine, and nothing has been taught to a cohort.</w:t>
      </w:r>
    </w:p>
    <w:p>
      <w:pPr>
        <w:pStyle w:val="Heading2"/>
      </w:pPr>
      <w:r>
        <w:t>How these figures were produced</w:t>
      </w:r>
    </w:p>
    <w:p>
      <w:pPr>
        <w:spacing w:after="140"/>
      </w:pPr>
      <w:r>
        <w:rPr>
          <w:i w:val="0"/>
          <w:color w:val="1A1A1A"/>
          <w:sz w:val="21"/>
        </w:rPr>
        <w:t>This log is generated from the programme repository rather than written from memory. The version numbers come from the dossier's own generator, and the word and section counts below are measured from the built files. Each dossier version is also checked against the repository as it is built — day count, total minutes, material counts, the sample-class figures — and the build is refused if any of them disagree.</w:t>
      </w:r>
    </w:p>
    <w:tbl>
      <w:tblPr>
        <w:tblStyle w:val="TableGrid"/>
        <w:tblW w:type="auto" w:w="0"/>
        <w:jc w:val="center"/>
        <w:tblLayout w:type="fixed"/>
        <w:tblLook w:firstColumn="1" w:firstRow="1" w:lastColumn="0" w:lastRow="0" w:noHBand="0" w:noVBand="1" w:val="04A0"/>
      </w:tblPr>
      <w:tblGrid>
        <w:gridCol w:w="1694"/>
        <w:gridCol w:w="1506"/>
        <w:gridCol w:w="2070"/>
        <w:gridCol w:w="2070"/>
        <w:gridCol w:w="2070"/>
      </w:tblGrid>
      <w:tr>
        <w:trPr>
          <w:tblHeader w:val="true"/>
        </w:trPr>
        <w:tc>
          <w:tcPr>
            <w:tcW w:type="dxa" w:w="1694"/>
            <w:shd w:val="clear" w:fill="1F3A5F"/>
          </w:tcPr>
          <w:p>
            <w:pPr>
              <w:spacing w:after="40" w:before="40"/>
            </w:pPr>
            <w:r/>
            <w:r>
              <w:rPr>
                <w:b/>
                <w:color w:val="FFFFFF"/>
                <w:sz w:val="19"/>
              </w:rPr>
              <w:t>Version</w:t>
            </w:r>
          </w:p>
        </w:tc>
        <w:tc>
          <w:tcPr>
            <w:tcW w:type="dxa" w:w="1506"/>
            <w:shd w:val="clear" w:fill="1F3A5F"/>
          </w:tcPr>
          <w:p>
            <w:pPr>
              <w:spacing w:after="40" w:before="40"/>
            </w:pPr>
            <w:r/>
            <w:r>
              <w:rPr>
                <w:b/>
                <w:color w:val="FFFFFF"/>
                <w:sz w:val="19"/>
              </w:rPr>
              <w:t>Date</w:t>
            </w:r>
          </w:p>
        </w:tc>
        <w:tc>
          <w:tcPr>
            <w:tcW w:type="dxa" w:w="2070"/>
            <w:shd w:val="clear" w:fill="1F3A5F"/>
          </w:tcPr>
          <w:p>
            <w:pPr>
              <w:spacing w:after="40" w:before="40"/>
            </w:pPr>
            <w:r/>
            <w:r>
              <w:rPr>
                <w:b/>
                <w:color w:val="FFFFFF"/>
                <w:sz w:val="19"/>
              </w:rPr>
              <w:t>Words</w:t>
            </w:r>
          </w:p>
        </w:tc>
        <w:tc>
          <w:tcPr>
            <w:tcW w:type="dxa" w:w="2070"/>
            <w:shd w:val="clear" w:fill="1F3A5F"/>
          </w:tcPr>
          <w:p>
            <w:pPr>
              <w:spacing w:after="40" w:before="40"/>
            </w:pPr>
            <w:r/>
            <w:r>
              <w:rPr>
                <w:b/>
                <w:color w:val="FFFFFF"/>
                <w:sz w:val="19"/>
              </w:rPr>
              <w:t>Tables</w:t>
            </w:r>
          </w:p>
        </w:tc>
        <w:tc>
          <w:tcPr>
            <w:tcW w:type="dxa" w:w="2070"/>
            <w:shd w:val="clear" w:fill="1F3A5F"/>
          </w:tcPr>
          <w:p>
            <w:pPr>
              <w:spacing w:after="40" w:before="40"/>
            </w:pPr>
            <w:r/>
            <w:r>
              <w:rPr>
                <w:b/>
                <w:color w:val="FFFFFF"/>
                <w:sz w:val="19"/>
              </w:rPr>
              <w:t>Sections</w:t>
            </w:r>
          </w:p>
        </w:tc>
      </w:tr>
      <w:tr>
        <w:tc>
          <w:tcPr>
            <w:tcW w:type="dxa" w:w="1694"/>
          </w:tcPr>
          <w:p>
            <w:pPr>
              <w:spacing w:after="40" w:before="40"/>
            </w:pPr>
            <w:r/>
            <w:r>
              <w:rPr>
                <w:b/>
                <w:i w:val="0"/>
                <w:color w:val="1A1A1A"/>
                <w:sz w:val="19"/>
              </w:rPr>
              <w:t>1.1</w:t>
            </w:r>
          </w:p>
        </w:tc>
        <w:tc>
          <w:tcPr>
            <w:tcW w:type="dxa" w:w="1506"/>
          </w:tcPr>
          <w:p>
            <w:pPr>
              <w:spacing w:after="40" w:before="40"/>
            </w:pPr>
            <w:r/>
            <w:r>
              <w:rPr>
                <w:b/>
                <w:i w:val="0"/>
                <w:color w:val="1A1A1A"/>
                <w:sz w:val="19"/>
              </w:rPr>
              <w:t>2 Oct</w:t>
            </w:r>
          </w:p>
        </w:tc>
        <w:tc>
          <w:tcPr>
            <w:tcW w:type="dxa" w:w="2070"/>
          </w:tcPr>
          <w:p>
            <w:pPr>
              <w:spacing w:after="40" w:before="40"/>
            </w:pPr>
            <w:r/>
            <w:r>
              <w:rPr>
                <w:b/>
                <w:i w:val="0"/>
                <w:color w:val="1A1A1A"/>
                <w:sz w:val="19"/>
              </w:rPr>
              <w:t>4,660</w:t>
            </w:r>
          </w:p>
        </w:tc>
        <w:tc>
          <w:tcPr>
            <w:tcW w:type="dxa" w:w="2070"/>
          </w:tcPr>
          <w:p>
            <w:pPr>
              <w:spacing w:after="40" w:before="40"/>
            </w:pPr>
            <w:r/>
            <w:r>
              <w:rPr>
                <w:i w:val="0"/>
                <w:color w:val="1A1A1A"/>
                <w:sz w:val="19"/>
              </w:rPr>
              <w:t>28</w:t>
            </w:r>
          </w:p>
        </w:tc>
        <w:tc>
          <w:tcPr>
            <w:tcW w:type="dxa" w:w="2070"/>
          </w:tcPr>
          <w:p>
            <w:pPr>
              <w:spacing w:after="40" w:before="40"/>
            </w:pPr>
            <w:r/>
            <w:r>
              <w:rPr>
                <w:i w:val="0"/>
                <w:color w:val="1A1A1A"/>
                <w:sz w:val="19"/>
              </w:rPr>
              <w:t>12</w:t>
            </w:r>
          </w:p>
        </w:tc>
      </w:tr>
      <w:tr>
        <w:tc>
          <w:tcPr>
            <w:tcW w:type="dxa" w:w="1694"/>
            <w:shd w:val="clear" w:fill="EEF2F7"/>
          </w:tcPr>
          <w:p>
            <w:pPr>
              <w:spacing w:after="40" w:before="40"/>
            </w:pPr>
            <w:r/>
            <w:r>
              <w:rPr>
                <w:i w:val="0"/>
                <w:color w:val="1A1A1A"/>
                <w:sz w:val="19"/>
              </w:rPr>
              <w:t>1.2</w:t>
            </w:r>
          </w:p>
        </w:tc>
        <w:tc>
          <w:tcPr>
            <w:tcW w:type="dxa" w:w="1506"/>
            <w:shd w:val="clear" w:fill="EEF2F7"/>
          </w:tcPr>
          <w:p>
            <w:pPr>
              <w:spacing w:after="40" w:before="40"/>
            </w:pPr>
            <w:r/>
            <w:r>
              <w:rPr>
                <w:i w:val="0"/>
                <w:color w:val="1A1A1A"/>
                <w:sz w:val="19"/>
              </w:rPr>
              <w:t>3 Oct</w:t>
            </w:r>
          </w:p>
        </w:tc>
        <w:tc>
          <w:tcPr>
            <w:tcW w:type="dxa" w:w="2070"/>
            <w:shd w:val="clear" w:fill="EEF2F7"/>
          </w:tcPr>
          <w:p>
            <w:pPr>
              <w:spacing w:after="40" w:before="40"/>
            </w:pPr>
            <w:r/>
            <w:r>
              <w:rPr>
                <w:i w:val="0"/>
                <w:color w:val="1A1A1A"/>
                <w:sz w:val="19"/>
              </w:rPr>
              <w:t>4,905</w:t>
            </w:r>
          </w:p>
        </w:tc>
        <w:tc>
          <w:tcPr>
            <w:tcW w:type="dxa" w:w="2070"/>
            <w:shd w:val="clear" w:fill="EEF2F7"/>
          </w:tcPr>
          <w:p>
            <w:pPr>
              <w:spacing w:after="40" w:before="40"/>
            </w:pPr>
            <w:r/>
            <w:r>
              <w:rPr>
                <w:i w:val="0"/>
                <w:color w:val="1A1A1A"/>
                <w:sz w:val="19"/>
              </w:rPr>
              <w:t>30</w:t>
            </w:r>
          </w:p>
        </w:tc>
        <w:tc>
          <w:tcPr>
            <w:tcW w:type="dxa" w:w="2070"/>
            <w:shd w:val="clear" w:fill="EEF2F7"/>
          </w:tcPr>
          <w:p>
            <w:pPr>
              <w:spacing w:after="40" w:before="40"/>
            </w:pPr>
            <w:r/>
            <w:r>
              <w:rPr>
                <w:i w:val="0"/>
                <w:color w:val="1A1A1A"/>
                <w:sz w:val="19"/>
              </w:rPr>
              <w:t>12</w:t>
            </w:r>
          </w:p>
        </w:tc>
      </w:tr>
      <w:tr>
        <w:tc>
          <w:tcPr>
            <w:tcW w:type="dxa" w:w="1694"/>
          </w:tcPr>
          <w:p>
            <w:pPr>
              <w:spacing w:after="40" w:before="40"/>
            </w:pPr>
            <w:r/>
            <w:r>
              <w:rPr>
                <w:i w:val="0"/>
                <w:color w:val="1A1A1A"/>
                <w:sz w:val="19"/>
              </w:rPr>
              <w:t>1.3</w:t>
            </w:r>
          </w:p>
        </w:tc>
        <w:tc>
          <w:tcPr>
            <w:tcW w:type="dxa" w:w="1506"/>
          </w:tcPr>
          <w:p>
            <w:pPr>
              <w:spacing w:after="40" w:before="40"/>
            </w:pPr>
            <w:r/>
            <w:r>
              <w:rPr>
                <w:i w:val="0"/>
                <w:color w:val="1A1A1A"/>
                <w:sz w:val="19"/>
              </w:rPr>
              <w:t>6 Oct</w:t>
            </w:r>
          </w:p>
        </w:tc>
        <w:tc>
          <w:tcPr>
            <w:tcW w:type="dxa" w:w="2070"/>
          </w:tcPr>
          <w:p>
            <w:pPr>
              <w:spacing w:after="40" w:before="40"/>
            </w:pPr>
            <w:r/>
            <w:r>
              <w:rPr>
                <w:i w:val="0"/>
                <w:color w:val="1A1A1A"/>
                <w:sz w:val="19"/>
              </w:rPr>
              <w:t>6,064</w:t>
            </w:r>
          </w:p>
        </w:tc>
        <w:tc>
          <w:tcPr>
            <w:tcW w:type="dxa" w:w="2070"/>
          </w:tcPr>
          <w:p>
            <w:pPr>
              <w:spacing w:after="40" w:before="40"/>
            </w:pPr>
            <w:r/>
            <w:r>
              <w:rPr>
                <w:i w:val="0"/>
                <w:color w:val="1A1A1A"/>
                <w:sz w:val="19"/>
              </w:rPr>
              <w:t>31</w:t>
            </w:r>
          </w:p>
        </w:tc>
        <w:tc>
          <w:tcPr>
            <w:tcW w:type="dxa" w:w="2070"/>
          </w:tcPr>
          <w:p>
            <w:pPr>
              <w:spacing w:after="40" w:before="40"/>
            </w:pPr>
            <w:r/>
            <w:r>
              <w:rPr>
                <w:i w:val="0"/>
                <w:color w:val="1A1A1A"/>
                <w:sz w:val="19"/>
              </w:rPr>
              <w:t>12</w:t>
            </w:r>
          </w:p>
        </w:tc>
      </w:tr>
      <w:tr>
        <w:tc>
          <w:tcPr>
            <w:tcW w:type="dxa" w:w="1694"/>
            <w:shd w:val="clear" w:fill="EEF2F7"/>
          </w:tcPr>
          <w:p>
            <w:pPr>
              <w:spacing w:after="40" w:before="40"/>
            </w:pPr>
            <w:r/>
            <w:r>
              <w:rPr>
                <w:i w:val="0"/>
                <w:color w:val="1A1A1A"/>
                <w:sz w:val="19"/>
              </w:rPr>
              <w:t>1.4</w:t>
            </w:r>
          </w:p>
        </w:tc>
        <w:tc>
          <w:tcPr>
            <w:tcW w:type="dxa" w:w="1506"/>
            <w:shd w:val="clear" w:fill="EEF2F7"/>
          </w:tcPr>
          <w:p>
            <w:pPr>
              <w:spacing w:after="40" w:before="40"/>
            </w:pPr>
            <w:r/>
            <w:r>
              <w:rPr>
                <w:i w:val="0"/>
                <w:color w:val="1A1A1A"/>
                <w:sz w:val="19"/>
              </w:rPr>
              <w:t>6 Oct</w:t>
            </w:r>
          </w:p>
        </w:tc>
        <w:tc>
          <w:tcPr>
            <w:tcW w:type="dxa" w:w="2070"/>
            <w:shd w:val="clear" w:fill="EEF2F7"/>
          </w:tcPr>
          <w:p>
            <w:pPr>
              <w:spacing w:after="40" w:before="40"/>
            </w:pPr>
            <w:r/>
            <w:r>
              <w:rPr>
                <w:i w:val="0"/>
                <w:color w:val="1A1A1A"/>
                <w:sz w:val="19"/>
              </w:rPr>
              <w:t>6,260</w:t>
            </w:r>
          </w:p>
        </w:tc>
        <w:tc>
          <w:tcPr>
            <w:tcW w:type="dxa" w:w="2070"/>
            <w:shd w:val="clear" w:fill="EEF2F7"/>
          </w:tcPr>
          <w:p>
            <w:pPr>
              <w:spacing w:after="40" w:before="40"/>
            </w:pPr>
            <w:r/>
            <w:r>
              <w:rPr>
                <w:i w:val="0"/>
                <w:color w:val="1A1A1A"/>
                <w:sz w:val="19"/>
              </w:rPr>
              <w:t>32</w:t>
            </w:r>
          </w:p>
        </w:tc>
        <w:tc>
          <w:tcPr>
            <w:tcW w:type="dxa" w:w="2070"/>
            <w:shd w:val="clear" w:fill="EEF2F7"/>
          </w:tcPr>
          <w:p>
            <w:pPr>
              <w:spacing w:after="40" w:before="40"/>
            </w:pPr>
            <w:r/>
            <w:r>
              <w:rPr>
                <w:i w:val="0"/>
                <w:color w:val="1A1A1A"/>
                <w:sz w:val="19"/>
              </w:rPr>
              <w:t>12</w:t>
            </w:r>
          </w:p>
        </w:tc>
      </w:tr>
      <w:tr>
        <w:tc>
          <w:tcPr>
            <w:tcW w:type="dxa" w:w="1694"/>
          </w:tcPr>
          <w:p>
            <w:pPr>
              <w:spacing w:after="40" w:before="40"/>
            </w:pPr>
            <w:r/>
            <w:r>
              <w:rPr>
                <w:i w:val="0"/>
                <w:color w:val="1A1A1A"/>
                <w:sz w:val="19"/>
              </w:rPr>
              <w:t>1.5</w:t>
            </w:r>
          </w:p>
        </w:tc>
        <w:tc>
          <w:tcPr>
            <w:tcW w:type="dxa" w:w="1506"/>
          </w:tcPr>
          <w:p>
            <w:pPr>
              <w:spacing w:after="40" w:before="40"/>
            </w:pPr>
            <w:r/>
            <w:r>
              <w:rPr>
                <w:i w:val="0"/>
                <w:color w:val="1A1A1A"/>
                <w:sz w:val="19"/>
              </w:rPr>
              <w:t>6 Oct</w:t>
            </w:r>
          </w:p>
        </w:tc>
        <w:tc>
          <w:tcPr>
            <w:tcW w:type="dxa" w:w="2070"/>
          </w:tcPr>
          <w:p>
            <w:pPr>
              <w:spacing w:after="40" w:before="40"/>
            </w:pPr>
            <w:r/>
            <w:r>
              <w:rPr>
                <w:i w:val="0"/>
                <w:color w:val="1A1A1A"/>
                <w:sz w:val="19"/>
              </w:rPr>
              <w:t>6,661</w:t>
            </w:r>
          </w:p>
        </w:tc>
        <w:tc>
          <w:tcPr>
            <w:tcW w:type="dxa" w:w="2070"/>
          </w:tcPr>
          <w:p>
            <w:pPr>
              <w:spacing w:after="40" w:before="40"/>
            </w:pPr>
            <w:r/>
            <w:r>
              <w:rPr>
                <w:i w:val="0"/>
                <w:color w:val="1A1A1A"/>
                <w:sz w:val="19"/>
              </w:rPr>
              <w:t>33</w:t>
            </w:r>
          </w:p>
        </w:tc>
        <w:tc>
          <w:tcPr>
            <w:tcW w:type="dxa" w:w="2070"/>
          </w:tcPr>
          <w:p>
            <w:pPr>
              <w:spacing w:after="40" w:before="40"/>
            </w:pPr>
            <w:r/>
            <w:r>
              <w:rPr>
                <w:i w:val="0"/>
                <w:color w:val="1A1A1A"/>
                <w:sz w:val="19"/>
              </w:rPr>
              <w:t>12</w:t>
            </w:r>
          </w:p>
        </w:tc>
      </w:tr>
      <w:tr>
        <w:tc>
          <w:tcPr>
            <w:tcW w:type="dxa" w:w="1694"/>
            <w:shd w:val="clear" w:fill="EEF2F7"/>
          </w:tcPr>
          <w:p>
            <w:pPr>
              <w:spacing w:after="40" w:before="40"/>
            </w:pPr>
            <w:r/>
            <w:r>
              <w:rPr>
                <w:i w:val="0"/>
                <w:color w:val="1A1A1A"/>
                <w:sz w:val="19"/>
              </w:rPr>
              <w:t>1.6</w:t>
            </w:r>
          </w:p>
        </w:tc>
        <w:tc>
          <w:tcPr>
            <w:tcW w:type="dxa" w:w="1506"/>
            <w:shd w:val="clear" w:fill="EEF2F7"/>
          </w:tcPr>
          <w:p>
            <w:pPr>
              <w:spacing w:after="40" w:before="40"/>
            </w:pPr>
            <w:r/>
            <w:r>
              <w:rPr>
                <w:i w:val="0"/>
                <w:color w:val="1A1A1A"/>
                <w:sz w:val="19"/>
              </w:rPr>
              <w:t>6 Oct</w:t>
            </w:r>
          </w:p>
        </w:tc>
        <w:tc>
          <w:tcPr>
            <w:tcW w:type="dxa" w:w="2070"/>
            <w:shd w:val="clear" w:fill="EEF2F7"/>
          </w:tcPr>
          <w:p>
            <w:pPr>
              <w:spacing w:after="40" w:before="40"/>
            </w:pPr>
            <w:r/>
            <w:r>
              <w:rPr>
                <w:i w:val="0"/>
                <w:color w:val="1A1A1A"/>
                <w:sz w:val="19"/>
              </w:rPr>
              <w:t>6,652</w:t>
            </w:r>
          </w:p>
        </w:tc>
        <w:tc>
          <w:tcPr>
            <w:tcW w:type="dxa" w:w="2070"/>
            <w:shd w:val="clear" w:fill="EEF2F7"/>
          </w:tcPr>
          <w:p>
            <w:pPr>
              <w:spacing w:after="40" w:before="40"/>
            </w:pPr>
            <w:r/>
            <w:r>
              <w:rPr>
                <w:i w:val="0"/>
                <w:color w:val="1A1A1A"/>
                <w:sz w:val="19"/>
              </w:rPr>
              <w:t>33</w:t>
            </w:r>
          </w:p>
        </w:tc>
        <w:tc>
          <w:tcPr>
            <w:tcW w:type="dxa" w:w="2070"/>
            <w:shd w:val="clear" w:fill="EEF2F7"/>
          </w:tcPr>
          <w:p>
            <w:pPr>
              <w:spacing w:after="40" w:before="40"/>
            </w:pPr>
            <w:r/>
            <w:r>
              <w:rPr>
                <w:i w:val="0"/>
                <w:color w:val="1A1A1A"/>
                <w:sz w:val="19"/>
              </w:rPr>
              <w:t>12</w:t>
            </w:r>
          </w:p>
        </w:tc>
      </w:tr>
      <w:tr>
        <w:tc>
          <w:tcPr>
            <w:tcW w:type="dxa" w:w="1694"/>
          </w:tcPr>
          <w:p>
            <w:pPr>
              <w:spacing w:after="40" w:before="40"/>
            </w:pPr>
            <w:r/>
            <w:r>
              <w:rPr>
                <w:b/>
                <w:i w:val="0"/>
                <w:color w:val="1A1A1A"/>
                <w:sz w:val="19"/>
              </w:rPr>
              <w:t>1.7</w:t>
            </w:r>
          </w:p>
        </w:tc>
        <w:tc>
          <w:tcPr>
            <w:tcW w:type="dxa" w:w="1506"/>
          </w:tcPr>
          <w:p>
            <w:pPr>
              <w:spacing w:after="40" w:before="40"/>
            </w:pPr>
            <w:r/>
            <w:r>
              <w:rPr>
                <w:i w:val="0"/>
                <w:color w:val="1A1A1A"/>
                <w:sz w:val="19"/>
              </w:rPr>
              <w:t>6 Oct</w:t>
            </w:r>
          </w:p>
        </w:tc>
        <w:tc>
          <w:tcPr>
            <w:tcW w:type="dxa" w:w="2070"/>
          </w:tcPr>
          <w:p>
            <w:pPr>
              <w:spacing w:after="40" w:before="40"/>
            </w:pPr>
            <w:r/>
            <w:r>
              <w:rPr>
                <w:b/>
                <w:i w:val="0"/>
                <w:color w:val="1A1A1A"/>
                <w:sz w:val="19"/>
              </w:rPr>
              <w:t>6,832</w:t>
            </w:r>
          </w:p>
        </w:tc>
        <w:tc>
          <w:tcPr>
            <w:tcW w:type="dxa" w:w="2070"/>
          </w:tcPr>
          <w:p>
            <w:pPr>
              <w:spacing w:after="40" w:before="40"/>
            </w:pPr>
            <w:r/>
            <w:r>
              <w:rPr>
                <w:i w:val="0"/>
                <w:color w:val="1A1A1A"/>
                <w:sz w:val="19"/>
              </w:rPr>
              <w:t>33</w:t>
            </w:r>
          </w:p>
        </w:tc>
        <w:tc>
          <w:tcPr>
            <w:tcW w:type="dxa" w:w="2070"/>
          </w:tcPr>
          <w:p>
            <w:pPr>
              <w:spacing w:after="40" w:before="40"/>
            </w:pPr>
            <w:r/>
            <w:r>
              <w:rPr>
                <w:i w:val="0"/>
                <w:color w:val="1A1A1A"/>
                <w:sz w:val="19"/>
              </w:rPr>
              <w:t>12</w:t>
            </w:r>
          </w:p>
        </w:tc>
      </w:tr>
    </w:tbl>
    <w:p>
      <w:pPr>
        <w:spacing w:after="80"/>
      </w:pPr>
    </w:p>
    <w:p>
      <w:pPr>
        <w:spacing w:after="140"/>
      </w:pPr>
      <w:r>
        <w:rPr>
          <w:i/>
          <w:color w:val="1A1A1A"/>
          <w:sz w:val="21"/>
        </w:rPr>
        <w:t>The row in bold is the version you have. The document grew after 1.1 because each later version added material you asked for — the decision rule, remote delivery, the state-curriculum mapping, Part 2 and the trial class. Older material was trimmed to make room, which is why the section count has stayed at twelve.</w:t>
      </w:r>
    </w:p>
    <w:p>
      <w:pPr>
        <w:pBdr>
          <w:bottom w:val="single" w:sz="6" w:space="4" w:color="1F3A5F"/>
        </w:pBdr>
      </w:pPr>
    </w:p>
    <w:p>
      <w:pPr>
        <w:spacing w:after="140"/>
      </w:pPr>
      <w:r>
        <w:rPr>
          <w:i w:val="0"/>
          <w:color w:val="5A5A5A"/>
          <w:sz w:val="18"/>
        </w:rPr>
        <w:t>Change log for Programme dossier v1.8 · 6 October 2026 · Prepared for Fast Foundation. Generated from the programme repository.</w:t>
      </w:r>
    </w:p>
    <w:sectPr w:rsidR="00FC693F" w:rsidRPr="0006063C" w:rsidSect="00034616">
      <w:pgSz w:w="11906" w:h="16838"/>
      <w:pgMar w:top="1247" w:right="1247" w:bottom="1247"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9" w:lineRule="auto"/>
    </w:pPr>
    <w:rPr>
      <w:rFonts w:ascii="Calibri" w:hAnsi="Calibri"/>
      <w:color w:val="1A1A1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40" w:after="160"/>
      <w:outlineLvl w:val="0"/>
    </w:pPr>
    <w:rPr>
      <w:rFonts w:asciiTheme="majorHAnsi" w:eastAsiaTheme="majorEastAsia" w:hAnsiTheme="majorHAnsi" w:cstheme="majorBidi" w:ascii="Calibri" w:hAnsi="Calibri"/>
      <w:b/>
      <w:bCs/>
      <w:color w:val="1F3A5F"/>
      <w:sz w:val="34"/>
      <w:szCs w:val="28"/>
    </w:rPr>
  </w:style>
  <w:style w:type="paragraph" w:styleId="Heading2">
    <w:name w:val="heading 2"/>
    <w:basedOn w:val="Normal"/>
    <w:next w:val="Normal"/>
    <w:link w:val="Heading2Char"/>
    <w:uiPriority w:val="9"/>
    <w:unhideWhenUsed/>
    <w:qFormat/>
    <w:rsid w:val="00FC693F"/>
    <w:pPr>
      <w:keepNext/>
      <w:keepLines/>
      <w:spacing w:before="300" w:after="100"/>
      <w:outlineLvl w:val="1"/>
    </w:pPr>
    <w:rPr>
      <w:rFonts w:asciiTheme="majorHAnsi" w:eastAsiaTheme="majorEastAsia" w:hAnsiTheme="majorHAnsi" w:cstheme="majorBidi" w:ascii="Calibri" w:hAnsi="Calibri"/>
      <w:b/>
      <w:bCs/>
      <w:color w:val="1F3A5F"/>
      <w:sz w:val="25"/>
      <w:szCs w:val="26"/>
    </w:rPr>
  </w:style>
  <w:style w:type="paragraph" w:styleId="Heading3">
    <w:name w:val="heading 3"/>
    <w:basedOn w:val="Normal"/>
    <w:next w:val="Normal"/>
    <w:link w:val="Heading3Char"/>
    <w:uiPriority w:val="9"/>
    <w:unhideWhenUsed/>
    <w:qFormat/>
    <w:rsid w:val="00FC693F"/>
    <w:pPr>
      <w:keepNext/>
      <w:keepLines/>
      <w:spacing w:before="220" w:after="60"/>
      <w:outlineLvl w:val="2"/>
    </w:pPr>
    <w:rPr>
      <w:rFonts w:asciiTheme="majorHAnsi" w:eastAsiaTheme="majorEastAsia" w:hAnsiTheme="majorHAnsi" w:cstheme="majorBidi" w:ascii="Calibri" w:hAnsi="Calibri"/>
      <w:b/>
      <w:bCs/>
      <w:color w:val="1F3A5F"/>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