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nine weeks, two lessons a week, small groups, online.</w:t>
      </w:r>
    </w:p>
    <w:p>
      <w:pPr>
        <w:spacing w:after="140"/>
      </w:pPr>
      <w:r>
        <w:rPr>
          <w:b/>
          <w:i w:val="0"/>
          <w:color w:val="1A1A1A"/>
          <w:sz w:val="21"/>
        </w:rPr>
        <w:t>The enclosed document now describes both courses in the same detail</w:t>
      </w:r>
      <w:r>
        <w:rPr>
          <w:i w:val="0"/>
          <w:color w:val="1A1A1A"/>
          <w:sz w:val="21"/>
        </w:rPr>
        <w:t xml:space="preserve"> — each with its own curriculum, schedule, assessment and finished program. Earlier versions covered the first course in full and the second in a single page.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three a week, 20 hours in total</w:t>
            </w:r>
          </w:p>
        </w:tc>
        <w:tc>
          <w:tcPr>
            <w:tcW w:type="dxa" w:w="2447"/>
          </w:tcPr>
          <w:p>
            <w:pPr>
              <w:spacing w:after="40" w:before="40"/>
            </w:pPr>
            <w:r/>
            <w:r>
              <w:rPr>
                <w:b/>
                <w:i w:val="0"/>
                <w:color w:val="1A1A1A"/>
                <w:sz w:val="18"/>
              </w:rPr>
              <w:t>75 minutes, twice a week — 18 sessions, 22½ hours in total</w:t>
            </w:r>
          </w:p>
        </w:tc>
        <w:tc>
          <w:tcPr>
            <w:tcW w:type="dxa" w:w="4329"/>
          </w:tcPr>
          <w:p>
            <w:pPr>
              <w:spacing w:after="40" w:before="40"/>
            </w:pPr>
            <w:r/>
            <w:r>
              <w:rPr>
                <w:i w:val="0"/>
                <w:color w:val="1A1A1A"/>
                <w:sz w:val="18"/>
              </w:rPr>
              <w:t>Two evenings a week instead of three, which is what teachers asked for. The practice that no longer fits in the room is set as homework — and every piece of it is a task the materials already contained</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Fully online</w:t>
            </w:r>
            <w:r>
              <w:rPr>
                <w:i w:val="0"/>
                <w:color w:val="1A1A1A"/>
                <w:sz w:val="18"/>
              </w:rPr>
              <w:t>, by video call</w:t>
            </w:r>
          </w:p>
        </w:tc>
        <w:tc>
          <w:tcPr>
            <w:tcW w:type="dxa" w:w="4329"/>
          </w:tcPr>
          <w:p>
            <w:pPr>
              <w:spacing w:after="40" w:before="40"/>
            </w:pPr>
            <w:r/>
            <w:r>
              <w:rPr>
                <w:i w:val="0"/>
                <w:color w:val="1A1A1A"/>
                <w:sz w:val="18"/>
              </w:rPr>
              <w:t>Every session in both courses, without exception. Teachers join from home or school. This removes some problems and creates others, both described in the full document</w:t>
            </w:r>
          </w:p>
        </w:tc>
      </w:tr>
    </w:tbl>
    <w:p>
      <w:pPr>
        <w:spacing w:after="80"/>
      </w:pPr>
    </w:p>
    <w:p>
      <w:pPr>
        <w:pStyle w:val="Heading2"/>
      </w:pPr>
      <w:r>
        <w:t>Homework — this is new, and teachers are told before they enrol</w:t>
      </w:r>
    </w:p>
    <w:p>
      <w:pPr>
        <w:spacing w:after="140"/>
      </w:pPr>
      <w:r>
        <w:rPr>
          <w:i w:val="0"/>
          <w:color w:val="1A1A1A"/>
          <w:sz w:val="21"/>
        </w:rPr>
        <w:t xml:space="preserve">Two evenings a week instead of three means less time together: </w:t>
      </w:r>
      <w:r>
        <w:rPr>
          <w:b/>
          <w:i w:val="0"/>
          <w:color w:val="1A1A1A"/>
          <w:sz w:val="21"/>
        </w:rPr>
        <w:t>22½ hours in the room, against 30 on the original plan</w:t>
      </w:r>
      <w:r>
        <w:rPr>
          <w:i w:val="0"/>
          <w:color w:val="1A1A1A"/>
          <w:sz w:val="21"/>
        </w:rPr>
        <w:t>. Nothing was removed from the course. What no longer fits is done at home.</w:t>
      </w:r>
    </w:p>
    <w:tbl>
      <w:tblPr>
        <w:tblStyle w:val="TableGrid"/>
        <w:tblW w:type="auto" w:w="0"/>
        <w:jc w:val="center"/>
        <w:tblLayout w:type="fixed"/>
        <w:tblLook w:firstColumn="1" w:firstRow="1" w:lastColumn="0" w:lastRow="0" w:noHBand="0" w:noVBand="1" w:val="04A0"/>
      </w:tblPr>
      <w:tblGrid>
        <w:gridCol w:w="3576"/>
        <w:gridCol w:w="3576"/>
        <w:gridCol w:w="2259"/>
      </w:tblGrid>
      <w:tr>
        <w:trPr>
          <w:tblHeader w:val="true"/>
        </w:trPr>
        <w:tc>
          <w:tcPr>
            <w:tcW w:type="dxa" w:w="3576"/>
            <w:shd w:val="clear" w:fill="1F3A5F"/>
          </w:tcPr>
          <w:p>
            <w:pPr>
              <w:spacing w:after="40" w:before="40"/>
            </w:pPr>
            <w:r/>
            <w:r>
              <w:rPr>
                <w:b/>
                <w:color w:val="FFFFFF"/>
                <w:sz w:val="18"/>
              </w:rPr>
              <w:t>After a session that covered…</w:t>
            </w:r>
          </w:p>
        </w:tc>
        <w:tc>
          <w:tcPr>
            <w:tcW w:type="dxa" w:w="3576"/>
            <w:shd w:val="clear" w:fill="1F3A5F"/>
          </w:tcPr>
          <w:p>
            <w:pPr>
              <w:spacing w:after="40" w:before="40"/>
            </w:pPr>
            <w:r/>
            <w:r>
              <w:rPr>
                <w:b/>
                <w:color w:val="FFFFFF"/>
                <w:sz w:val="18"/>
              </w:rPr>
              <w:t>What is done at home</w:t>
            </w:r>
          </w:p>
        </w:tc>
        <w:tc>
          <w:tcPr>
            <w:tcW w:type="dxa" w:w="2259"/>
            <w:shd w:val="clear" w:fill="1F3A5F"/>
          </w:tcPr>
          <w:p>
            <w:pPr>
              <w:spacing w:after="40" w:before="40"/>
            </w:pPr>
            <w:r/>
            <w:r>
              <w:rPr>
                <w:b/>
                <w:color w:val="FFFFFF"/>
                <w:sz w:val="18"/>
              </w:rPr>
              <w:t>How long</w:t>
            </w:r>
          </w:p>
        </w:tc>
      </w:tr>
      <w:tr>
        <w:tc>
          <w:tcPr>
            <w:tcW w:type="dxa" w:w="3576"/>
          </w:tcPr>
          <w:p>
            <w:pPr>
              <w:spacing w:after="40" w:before="40"/>
            </w:pPr>
            <w:r/>
            <w:r>
              <w:rPr>
                <w:i w:val="0"/>
                <w:color w:val="1A1A1A"/>
                <w:sz w:val="18"/>
              </w:rPr>
              <w:t xml:space="preserve">one topic </w:t>
            </w:r>
            <w:r>
              <w:rPr>
                <w:i/>
                <w:color w:val="1A1A1A"/>
                <w:sz w:val="18"/>
              </w:rPr>
              <w:t>(twelve of the eighteen)</w:t>
            </w:r>
          </w:p>
        </w:tc>
        <w:tc>
          <w:tcPr>
            <w:tcW w:type="dxa" w:w="3576"/>
          </w:tcPr>
          <w:p>
            <w:pPr>
              <w:spacing w:after="40" w:before="40"/>
            </w:pPr>
            <w:r/>
            <w:r>
              <w:rPr>
                <w:i w:val="0"/>
                <w:color w:val="1A1A1A"/>
                <w:sz w:val="18"/>
              </w:rPr>
              <w:t>the optional extra questions</w:t>
            </w:r>
          </w:p>
        </w:tc>
        <w:tc>
          <w:tcPr>
            <w:tcW w:type="dxa" w:w="2259"/>
          </w:tcPr>
          <w:p>
            <w:pPr>
              <w:spacing w:after="40" w:before="40"/>
            </w:pPr>
            <w:r/>
            <w:r>
              <w:rPr>
                <w:b/>
                <w:i w:val="0"/>
                <w:color w:val="1A1A1A"/>
                <w:sz w:val="18"/>
              </w:rPr>
              <w:t>15–20 minutes</w:t>
            </w:r>
          </w:p>
        </w:tc>
      </w:tr>
      <w:tr>
        <w:tc>
          <w:tcPr>
            <w:tcW w:type="dxa" w:w="3576"/>
            <w:shd w:val="clear" w:fill="EEF2F7"/>
          </w:tcPr>
          <w:p>
            <w:pPr>
              <w:spacing w:after="40" w:before="40"/>
            </w:pPr>
            <w:r/>
            <w:r>
              <w:rPr>
                <w:i w:val="0"/>
                <w:color w:val="1A1A1A"/>
                <w:sz w:val="18"/>
              </w:rPr>
              <w:t xml:space="preserve">two topics </w:t>
            </w:r>
            <w:r>
              <w:rPr>
                <w:i/>
                <w:color w:val="1A1A1A"/>
                <w:sz w:val="18"/>
              </w:rPr>
              <w:t>(six of the eighteen)</w:t>
            </w:r>
          </w:p>
        </w:tc>
        <w:tc>
          <w:tcPr>
            <w:tcW w:type="dxa" w:w="3576"/>
            <w:shd w:val="clear" w:fill="EEF2F7"/>
          </w:tcPr>
          <w:p>
            <w:pPr>
              <w:spacing w:after="40" w:before="40"/>
            </w:pPr>
            <w:r/>
            <w:r>
              <w:rPr>
                <w:i w:val="0"/>
                <w:color w:val="1A1A1A"/>
                <w:sz w:val="18"/>
              </w:rPr>
              <w:t>the main questions for both</w:t>
            </w:r>
          </w:p>
        </w:tc>
        <w:tc>
          <w:tcPr>
            <w:tcW w:type="dxa" w:w="2259"/>
            <w:shd w:val="clear" w:fill="EEF2F7"/>
          </w:tcPr>
          <w:p>
            <w:pPr>
              <w:spacing w:after="40" w:before="40"/>
            </w:pPr>
            <w:r/>
            <w:r>
              <w:rPr>
                <w:b/>
                <w:i w:val="0"/>
                <w:color w:val="1A1A1A"/>
                <w:sz w:val="18"/>
              </w:rPr>
              <w:t>30–40 minutes</w:t>
            </w:r>
          </w:p>
        </w:tc>
      </w:tr>
      <w:tr>
        <w:tc>
          <w:tcPr>
            <w:tcW w:type="dxa" w:w="3576"/>
          </w:tcPr>
          <w:p>
            <w:pPr>
              <w:spacing w:after="40" w:before="40"/>
            </w:pPr>
            <w:r/>
            <w:r>
              <w:rPr>
                <w:i w:val="0"/>
                <w:color w:val="1A1A1A"/>
                <w:sz w:val="18"/>
              </w:rPr>
              <w:t>the two practical build sessions</w:t>
            </w:r>
          </w:p>
        </w:tc>
        <w:tc>
          <w:tcPr>
            <w:tcW w:type="dxa" w:w="3576"/>
          </w:tcPr>
          <w:p>
            <w:pPr>
              <w:spacing w:after="40" w:before="40"/>
            </w:pPr>
            <w:r/>
            <w:r>
              <w:rPr>
                <w:i w:val="0"/>
                <w:color w:val="1A1A1A"/>
                <w:sz w:val="18"/>
              </w:rPr>
              <w:t>nothing</w:t>
            </w:r>
          </w:p>
        </w:tc>
        <w:tc>
          <w:tcPr>
            <w:tcW w:type="dxa" w:w="2259"/>
          </w:tcPr>
          <w:p>
            <w:pPr>
              <w:spacing w:after="40" w:before="40"/>
            </w:pPr>
            <w:r/>
            <w:r>
              <w:rPr>
                <w:i w:val="0"/>
                <w:color w:val="1A1A1A"/>
                <w:sz w:val="18"/>
              </w:rPr>
              <w:t>—</w:t>
            </w:r>
          </w:p>
        </w:tc>
      </w:tr>
    </w:tbl>
    <w:p>
      <w:pPr>
        <w:spacing w:after="80"/>
      </w:pPr>
    </w:p>
    <w:p>
      <w:pPr>
        <w:spacing w:after="140"/>
      </w:pPr>
      <w:r>
        <w:rPr>
          <w:b/>
          <w:i w:val="0"/>
          <w:color w:val="1A1A1A"/>
          <w:sz w:val="21"/>
        </w:rPr>
        <w:t>Nothing new is ever set at home.</w:t>
      </w:r>
      <w:r>
        <w:rPr>
          <w:i w:val="0"/>
          <w:color w:val="1A1A1A"/>
          <w:sz w:val="21"/>
        </w:rPr>
        <w:t xml:space="preserve"> Every question is already printed in the same workbook the session used, in the same form as the questions done together, and the next session begins by going through them. </w:t>
      </w:r>
      <w:r>
        <w:rPr>
          <w:b/>
          <w:i w:val="0"/>
          <w:color w:val="1A1A1A"/>
          <w:sz w:val="21"/>
        </w:rPr>
        <w:t>Teachers are told this before they agree to join</w:t>
      </w:r>
      <w:r>
        <w:rPr>
          <w:i w:val="0"/>
          <w:color w:val="1A1A1A"/>
          <w:sz w:val="21"/>
        </w:rPr>
        <w:t>, not after they have started.</w:t>
      </w: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3.2 · 13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