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Structure</w:t>
            </w:r>
          </w:p>
        </w:tc>
        <w:tc>
          <w:tcPr>
            <w:tcW w:type="dxa" w:w="7811"/>
          </w:tcPr>
          <w:p>
            <w:pPr>
              <w:spacing w:after="40" w:before="40"/>
            </w:pPr>
            <w:r/>
            <w:r>
              <w:rPr>
                <w:b/>
                <w:i w:val="0"/>
                <w:color w:val="1A1A1A"/>
                <w:sz w:val="19"/>
              </w:rPr>
              <w:t>Two parts.</w:t>
            </w:r>
            <w:r>
              <w:rPr>
                <w:i w:val="0"/>
                <w:color w:val="1A1A1A"/>
                <w:sz w:val="19"/>
              </w:rPr>
              <w:t xml:space="preserve"> </w:t>
            </w:r>
            <w:r>
              <w:rPr>
                <w:b/>
                <w:i w:val="0"/>
                <w:color w:val="1A1A1A"/>
                <w:sz w:val="19"/>
              </w:rPr>
              <w:t>Part 1 — coding skills — 2 months.</w:t>
            </w:r>
            <w:r>
              <w:rPr>
                <w:i w:val="0"/>
                <w:color w:val="1A1A1A"/>
                <w:sz w:val="19"/>
              </w:rPr>
              <w:t xml:space="preserve"> </w:t>
            </w:r>
            <w:r>
              <w:rPr>
                <w:b/>
                <w:i w:val="0"/>
                <w:color w:val="1A1A1A"/>
                <w:sz w:val="19"/>
              </w:rPr>
              <w:t>Part 2 — algorithmic tasks and theory — 4 months</w:t>
            </w:r>
            <w:r>
              <w:rPr>
                <w:i w:val="0"/>
                <w:color w:val="1A1A1A"/>
                <w:sz w:val="19"/>
              </w:rPr>
              <w:t xml:space="preserve">, and only if Part 1 succeeds. </w:t>
            </w:r>
            <w:r>
              <w:rPr>
                <w:b/>
                <w:i w:val="0"/>
                <w:color w:val="1A1A1A"/>
                <w:sz w:val="19"/>
              </w:rPr>
              <w:t>This dossier describes Part 1.</w:t>
            </w:r>
          </w:p>
        </w:tc>
      </w:tr>
      <w:tr>
        <w:tc>
          <w:tcPr>
            <w:tcW w:type="dxa" w:w="1600"/>
            <w:shd w:val="clear" w:fill="EEF2F7"/>
          </w:tcPr>
          <w:p>
            <w:pPr>
              <w:spacing w:after="40" w:before="40"/>
            </w:pPr>
            <w:r/>
            <w:r>
              <w:rPr>
                <w:i w:val="0"/>
                <w:color w:val="1A1A1A"/>
                <w:sz w:val="19"/>
              </w:rPr>
              <w:t>Part 1 format</w:t>
            </w:r>
          </w:p>
        </w:tc>
        <w:tc>
          <w:tcPr>
            <w:tcW w:type="dxa" w:w="7811"/>
            <w:shd w:val="clear" w:fill="EEF2F7"/>
          </w:tcPr>
          <w:p>
            <w:pPr>
              <w:spacing w:after="40" w:before="40"/>
            </w:pPr>
            <w:r/>
            <w:r>
              <w:rPr>
                <w:i w:val="0"/>
                <w:color w:val="1A1A1A"/>
                <w:sz w:val="19"/>
              </w:rPr>
              <w:t xml:space="preserve">24 sessions × 75 minutes = </w:t>
            </w:r>
            <w:r>
              <w:rPr>
                <w:b/>
                <w:i w:val="0"/>
                <w:color w:val="1A1A1A"/>
                <w:sz w:val="19"/>
              </w:rPr>
              <w:t>30 hours</w:t>
            </w:r>
            <w:r>
              <w:rPr>
                <w:i w:val="0"/>
                <w:color w:val="1A1A1A"/>
                <w:sz w:val="19"/>
              </w:rPr>
              <w:t>, three times a week over eight weeks, plus three assessment sittings</w:t>
            </w:r>
          </w:p>
        </w:tc>
      </w:tr>
      <w:tr>
        <w:tc>
          <w:tcPr>
            <w:tcW w:type="dxa" w:w="1600"/>
          </w:tcPr>
          <w:p>
            <w:pPr>
              <w:spacing w:after="40" w:before="40"/>
            </w:pPr>
            <w:r/>
            <w:r>
              <w:rPr>
                <w:i w:val="0"/>
                <w:color w:val="1A1A1A"/>
                <w:sz w:val="19"/>
              </w:rPr>
              <w:t>Delivery</w:t>
            </w:r>
          </w:p>
        </w:tc>
        <w:tc>
          <w:tcPr>
            <w:tcW w:type="dxa" w:w="7811"/>
          </w:tcPr>
          <w:p>
            <w:pPr>
              <w:spacing w:after="40" w:before="40"/>
            </w:pPr>
            <w:r/>
            <w:r>
              <w:rPr>
                <w:b/>
                <w:i w:val="0"/>
                <w:color w:val="1A1A1A"/>
                <w:sz w:val="19"/>
              </w:rPr>
              <w:t>Remote</w:t>
            </w:r>
            <w:r>
              <w:rPr>
                <w:i w:val="0"/>
                <w:color w:val="1A1A1A"/>
                <w:sz w:val="19"/>
              </w:rPr>
              <w:t>, over Google Meet with screen sharing</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b/>
                <w:i w:val="0"/>
                <w:color w:val="1A1A1A"/>
                <w:sz w:val="19"/>
              </w:rPr>
              <w:t>4–8 per group</w:t>
            </w:r>
            <w:r>
              <w:rPr>
                <w:i w:val="0"/>
                <w:color w:val="1A1A1A"/>
                <w:sz w:val="19"/>
              </w:rPr>
              <w:t>,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four-file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Judged by</w:t>
            </w:r>
          </w:p>
        </w:tc>
        <w:tc>
          <w:tcPr>
            <w:tcW w:type="dxa" w:w="7811"/>
            <w:shd w:val="clear" w:fill="EEF2F7"/>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tcPr>
          <w:p>
            <w:pPr>
              <w:spacing w:after="40" w:before="40"/>
            </w:pPr>
            <w:r/>
            <w:r>
              <w:rPr>
                <w:i w:val="0"/>
                <w:color w:val="1A1A1A"/>
                <w:sz w:val="19"/>
              </w:rPr>
              <w:t>Status</w:t>
            </w:r>
          </w:p>
        </w:tc>
        <w:tc>
          <w:tcPr>
            <w:tcW w:type="dxa" w:w="7811"/>
          </w:tcPr>
          <w:p>
            <w:pPr>
              <w:spacing w:after="40" w:before="40"/>
            </w:pPr>
            <w:r/>
            <w:r>
              <w:rPr>
                <w:i w:val="0"/>
                <w:color w:val="1A1A1A"/>
                <w:sz w:val="19"/>
              </w:rPr>
              <w:t xml:space="preserve">Part 1 materials complete and verified. </w:t>
            </w:r>
            <w:r>
              <w:rPr>
                <w:b/>
                <w:i w:val="0"/>
                <w:color w:val="1A1A1A"/>
                <w:sz w:val="19"/>
              </w:rPr>
              <w:t>Not yet taught to a cohort.</w:t>
            </w:r>
            <w:r>
              <w:rPr>
                <w:i w:val="0"/>
                <w:color w:val="1A1A1A"/>
                <w:sz w:val="19"/>
              </w:rPr>
              <w:t xml:space="preserve"> Part 2 is a vision</w:t>
            </w:r>
          </w:p>
        </w:tc>
      </w:tr>
      <w:tr>
        <w:tc>
          <w:tcPr>
            <w:tcW w:type="dxa" w:w="1600"/>
            <w:shd w:val="clear" w:fill="EEF2F7"/>
          </w:tcPr>
          <w:p>
            <w:pPr>
              <w:spacing w:after="40" w:before="40"/>
            </w:pPr>
            <w:r/>
            <w:r>
              <w:rPr>
                <w:i w:val="0"/>
                <w:color w:val="1A1A1A"/>
                <w:sz w:val="19"/>
              </w:rPr>
              <w:t>Version</w:t>
            </w:r>
          </w:p>
        </w:tc>
        <w:tc>
          <w:tcPr>
            <w:tcW w:type="dxa" w:w="7811"/>
            <w:shd w:val="clear" w:fill="EEF2F7"/>
          </w:tcPr>
          <w:p>
            <w:pPr>
              <w:spacing w:after="40" w:before="40"/>
            </w:pPr>
            <w:r/>
            <w:r>
              <w:rPr>
                <w:i w:val="0"/>
                <w:color w:val="1A1A1A"/>
                <w:sz w:val="19"/>
              </w:rPr>
              <w:t>1.7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i w:val="0"/>
                <w:color w:val="1A1A1A"/>
                <w:sz w:val="20"/>
              </w:rPr>
              <w:t>Sections 3–6 answer what you asked: the method, the schedule, the curriculum and the expected results.</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 xml:space="preserve">A programme for public-school teachers who have never written a line of code, </w:t>
      </w:r>
      <w:r>
        <w:rPr>
          <w:b/>
          <w:i w:val="0"/>
          <w:color w:val="1A1A1A"/>
          <w:sz w:val="21"/>
        </w:rPr>
        <w:t>in two parts: Part 1 teaches coding skills over two months; Part 2 covers algorithmic tasks and the theory Part 1 postponed, over four.</w:t>
      </w:r>
      <w:r>
        <w:rPr>
          <w:i w:val="0"/>
          <w:color w:val="1A1A1A"/>
          <w:sz w:val="21"/>
        </w:rPr>
        <w:t xml:space="preserve"> This dossier describes </w:t>
      </w:r>
      <w:r>
        <w:rPr>
          <w:b/>
          <w:i w:val="0"/>
          <w:color w:val="1A1A1A"/>
          <w:sz w:val="21"/>
        </w:rPr>
        <w:t>Part 1</w:t>
      </w:r>
      <w:r>
        <w:rPr>
          <w:i w:val="0"/>
          <w:color w:val="1A1A1A"/>
          <w:sz w:val="21"/>
        </w:rPr>
        <w:t xml:space="preserve">: twenty-four sessions, three a week for eight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Part 1 is a two-month experiment with a decision at the end, not a finished methodology.</w:t>
            </w:r>
            <w:r>
              <w:rPr>
                <w:i w:val="0"/>
                <w:color w:val="1A1A1A"/>
                <w:sz w:val="20"/>
              </w:rPr>
              <w:t xml:space="preserve"> It is built and verified. </w:t>
            </w:r>
            <w:r>
              <w:rPr>
                <w:b/>
                <w:i w:val="0"/>
                <w:color w:val="1A1A1A"/>
                <w:sz w:val="20"/>
              </w:rPr>
              <w:t>Part 2 — the four months that follow — is a vision that runs only if Part 1 succeeds</w:t>
            </w:r>
            <w:r>
              <w:rPr>
                <w:i w:val="0"/>
                <w:color w:val="1A1A1A"/>
                <w:sz w:val="20"/>
              </w:rPr>
              <w:t xml:space="preserve">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24 sessions, three times a week over eight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75 minutes, three times a week — 24 × 75 = 30 hours. Once the cohort has adapted we may move to two a week, or to three of 50 minutes; the day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847"/>
        <w:gridCol w:w="1223"/>
        <w:gridCol w:w="5458"/>
        <w:gridCol w:w="1882"/>
      </w:tblGrid>
      <w:tr>
        <w:trPr>
          <w:tblHeader w:val="true"/>
        </w:trPr>
        <w:tc>
          <w:tcPr>
            <w:tcW w:type="dxa" w:w="847"/>
            <w:shd w:val="clear" w:fill="1F3A5F"/>
          </w:tcPr>
          <w:p>
            <w:pPr>
              <w:spacing w:after="40" w:before="40"/>
            </w:pPr>
            <w:r/>
            <w:r>
              <w:rPr>
                <w:b/>
                <w:color w:val="FFFFFF"/>
                <w:sz w:val="19"/>
              </w:rPr>
              <w:t>Week</w:t>
            </w:r>
          </w:p>
        </w:tc>
        <w:tc>
          <w:tcPr>
            <w:tcW w:type="dxa" w:w="1223"/>
            <w:shd w:val="clear" w:fill="1F3A5F"/>
          </w:tcPr>
          <w:p>
            <w:pPr>
              <w:spacing w:after="40" w:before="40"/>
            </w:pPr>
            <w:r/>
            <w:r>
              <w:rPr>
                <w:b/>
                <w:color w:val="FFFFFF"/>
                <w:sz w:val="19"/>
              </w:rPr>
              <w:t>Sessions</w:t>
            </w:r>
          </w:p>
        </w:tc>
        <w:tc>
          <w:tcPr>
            <w:tcW w:type="dxa" w:w="5458"/>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847"/>
          </w:tcPr>
          <w:p>
            <w:pPr>
              <w:spacing w:after="40" w:before="40"/>
            </w:pPr>
            <w:r/>
            <w:r>
              <w:rPr>
                <w:i w:val="0"/>
                <w:color w:val="1A1A1A"/>
                <w:sz w:val="19"/>
              </w:rPr>
              <w:t>1</w:t>
            </w:r>
          </w:p>
        </w:tc>
        <w:tc>
          <w:tcPr>
            <w:tcW w:type="dxa" w:w="1223"/>
          </w:tcPr>
          <w:p>
            <w:pPr>
              <w:spacing w:after="40" w:before="40"/>
            </w:pPr>
            <w:r/>
            <w:r>
              <w:rPr>
                <w:i w:val="0"/>
                <w:color w:val="1A1A1A"/>
                <w:sz w:val="19"/>
              </w:rPr>
              <w:t>1–3</w:t>
            </w:r>
          </w:p>
        </w:tc>
        <w:tc>
          <w:tcPr>
            <w:tcW w:type="dxa" w:w="5458"/>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day 1</w:t>
            </w:r>
          </w:p>
        </w:tc>
      </w:tr>
      <w:tr>
        <w:tc>
          <w:tcPr>
            <w:tcW w:type="dxa" w:w="847"/>
            <w:shd w:val="clear" w:fill="EEF2F7"/>
          </w:tcPr>
          <w:p>
            <w:pPr>
              <w:spacing w:after="40" w:before="40"/>
            </w:pPr>
            <w:r/>
            <w:r>
              <w:rPr>
                <w:i w:val="0"/>
                <w:color w:val="1A1A1A"/>
                <w:sz w:val="19"/>
              </w:rPr>
              <w:t>2</w:t>
            </w:r>
          </w:p>
        </w:tc>
        <w:tc>
          <w:tcPr>
            <w:tcW w:type="dxa" w:w="1223"/>
            <w:shd w:val="clear" w:fill="EEF2F7"/>
          </w:tcPr>
          <w:p>
            <w:pPr>
              <w:spacing w:after="40" w:before="40"/>
            </w:pPr>
            <w:r/>
            <w:r>
              <w:rPr>
                <w:i w:val="0"/>
                <w:color w:val="1A1A1A"/>
                <w:sz w:val="19"/>
              </w:rPr>
              <w:t>4–6</w:t>
            </w:r>
          </w:p>
        </w:tc>
        <w:tc>
          <w:tcPr>
            <w:tcW w:type="dxa" w:w="5458"/>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847"/>
          </w:tcPr>
          <w:p>
            <w:pPr>
              <w:spacing w:after="40" w:before="40"/>
            </w:pPr>
            <w:r/>
            <w:r>
              <w:rPr>
                <w:i w:val="0"/>
                <w:color w:val="1A1A1A"/>
                <w:sz w:val="19"/>
              </w:rPr>
              <w:t>3</w:t>
            </w:r>
          </w:p>
        </w:tc>
        <w:tc>
          <w:tcPr>
            <w:tcW w:type="dxa" w:w="1223"/>
          </w:tcPr>
          <w:p>
            <w:pPr>
              <w:spacing w:after="40" w:before="40"/>
            </w:pPr>
            <w:r/>
            <w:r>
              <w:rPr>
                <w:i w:val="0"/>
                <w:color w:val="1A1A1A"/>
                <w:sz w:val="19"/>
              </w:rPr>
              <w:t>7–9</w:t>
            </w:r>
          </w:p>
        </w:tc>
        <w:tc>
          <w:tcPr>
            <w:tcW w:type="dxa" w:w="5458"/>
          </w:tcPr>
          <w:p>
            <w:pPr>
              <w:spacing w:after="40" w:before="40"/>
            </w:pPr>
            <w:r/>
            <w:r>
              <w:rPr>
                <w:i w:val="0"/>
                <w:color w:val="1A1A1A"/>
                <w:sz w:val="19"/>
              </w:rPr>
              <w:t>The computer can make decisions</w:t>
            </w:r>
          </w:p>
        </w:tc>
        <w:tc>
          <w:tcPr>
            <w:tcW w:type="dxa" w:w="1882"/>
          </w:tcPr>
          <w:p>
            <w:pPr>
              <w:spacing w:after="40" w:before="40"/>
            </w:pPr>
            <w:r/>
          </w:p>
        </w:tc>
      </w:tr>
      <w:tr>
        <w:tc>
          <w:tcPr>
            <w:tcW w:type="dxa" w:w="847"/>
            <w:shd w:val="clear" w:fill="EEF2F7"/>
          </w:tcPr>
          <w:p>
            <w:pPr>
              <w:spacing w:after="40" w:before="40"/>
            </w:pPr>
            <w:r/>
            <w:r>
              <w:rPr>
                <w:i w:val="0"/>
                <w:color w:val="1A1A1A"/>
                <w:sz w:val="19"/>
              </w:rPr>
              <w:t>4</w:t>
            </w:r>
          </w:p>
        </w:tc>
        <w:tc>
          <w:tcPr>
            <w:tcW w:type="dxa" w:w="1223"/>
            <w:shd w:val="clear" w:fill="EEF2F7"/>
          </w:tcPr>
          <w:p>
            <w:pPr>
              <w:spacing w:after="40" w:before="40"/>
            </w:pPr>
            <w:r/>
            <w:r>
              <w:rPr>
                <w:i w:val="0"/>
                <w:color w:val="1A1A1A"/>
                <w:sz w:val="19"/>
              </w:rPr>
              <w:t>10–12</w:t>
            </w:r>
          </w:p>
        </w:tc>
        <w:tc>
          <w:tcPr>
            <w:tcW w:type="dxa" w:w="5458"/>
            <w:shd w:val="clear" w:fill="EEF2F7"/>
          </w:tcPr>
          <w:p>
            <w:pPr>
              <w:spacing w:after="40" w:before="40"/>
            </w:pPr>
            <w:r/>
            <w:r>
              <w:rPr>
                <w:i w:val="0"/>
                <w:color w:val="1A1A1A"/>
                <w:sz w:val="19"/>
              </w:rPr>
              <w:t>One loop marks thirty students</w:t>
            </w:r>
          </w:p>
        </w:tc>
        <w:tc>
          <w:tcPr>
            <w:tcW w:type="dxa" w:w="1882"/>
            <w:shd w:val="clear" w:fill="EEF2F7"/>
          </w:tcPr>
          <w:p>
            <w:pPr>
              <w:spacing w:after="40" w:before="40"/>
            </w:pPr>
            <w:r/>
            <w:r>
              <w:rPr>
                <w:b/>
                <w:i w:val="0"/>
                <w:color w:val="1A1A1A"/>
                <w:sz w:val="19"/>
              </w:rPr>
              <w:t>Midpoint</w:t>
            </w:r>
          </w:p>
        </w:tc>
      </w:tr>
      <w:tr>
        <w:tc>
          <w:tcPr>
            <w:tcW w:type="dxa" w:w="847"/>
          </w:tcPr>
          <w:p>
            <w:pPr>
              <w:spacing w:after="40" w:before="40"/>
            </w:pPr>
            <w:r/>
            <w:r>
              <w:rPr>
                <w:i w:val="0"/>
                <w:color w:val="1A1A1A"/>
                <w:sz w:val="19"/>
              </w:rPr>
              <w:t>5</w:t>
            </w:r>
          </w:p>
        </w:tc>
        <w:tc>
          <w:tcPr>
            <w:tcW w:type="dxa" w:w="1223"/>
          </w:tcPr>
          <w:p>
            <w:pPr>
              <w:spacing w:after="40" w:before="40"/>
            </w:pPr>
            <w:r/>
            <w:r>
              <w:rPr>
                <w:i w:val="0"/>
                <w:color w:val="1A1A1A"/>
                <w:sz w:val="19"/>
              </w:rPr>
              <w:t>13–15</w:t>
            </w:r>
          </w:p>
        </w:tc>
        <w:tc>
          <w:tcPr>
            <w:tcW w:type="dxa" w:w="5458"/>
          </w:tcPr>
          <w:p>
            <w:pPr>
              <w:spacing w:after="40" w:before="40"/>
            </w:pPr>
            <w:r/>
            <w:r>
              <w:rPr>
                <w:i w:val="0"/>
                <w:color w:val="1A1A1A"/>
                <w:sz w:val="19"/>
              </w:rPr>
              <w:t>I can find any student by name</w:t>
            </w:r>
          </w:p>
        </w:tc>
        <w:tc>
          <w:tcPr>
            <w:tcW w:type="dxa" w:w="1882"/>
          </w:tcPr>
          <w:p>
            <w:pPr>
              <w:spacing w:after="40" w:before="40"/>
            </w:pPr>
            <w:r/>
          </w:p>
        </w:tc>
      </w:tr>
      <w:tr>
        <w:tc>
          <w:tcPr>
            <w:tcW w:type="dxa" w:w="847"/>
            <w:shd w:val="clear" w:fill="EEF2F7"/>
          </w:tcPr>
          <w:p>
            <w:pPr>
              <w:spacing w:after="40" w:before="40"/>
            </w:pPr>
            <w:r/>
            <w:r>
              <w:rPr>
                <w:i w:val="0"/>
                <w:color w:val="1A1A1A"/>
                <w:sz w:val="19"/>
              </w:rPr>
              <w:t>6</w:t>
            </w:r>
          </w:p>
        </w:tc>
        <w:tc>
          <w:tcPr>
            <w:tcW w:type="dxa" w:w="1223"/>
            <w:shd w:val="clear" w:fill="EEF2F7"/>
          </w:tcPr>
          <w:p>
            <w:pPr>
              <w:spacing w:after="40" w:before="40"/>
            </w:pPr>
            <w:r/>
            <w:r>
              <w:rPr>
                <w:i w:val="0"/>
                <w:color w:val="1A1A1A"/>
                <w:sz w:val="19"/>
              </w:rPr>
              <w:t>16–18</w:t>
            </w:r>
          </w:p>
        </w:tc>
        <w:tc>
          <w:tcPr>
            <w:tcW w:type="dxa" w:w="5458"/>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847"/>
          </w:tcPr>
          <w:p>
            <w:pPr>
              <w:spacing w:after="40" w:before="40"/>
            </w:pPr>
            <w:r/>
            <w:r>
              <w:rPr>
                <w:i w:val="0"/>
                <w:color w:val="1A1A1A"/>
                <w:sz w:val="19"/>
              </w:rPr>
              <w:t>7</w:t>
            </w:r>
          </w:p>
        </w:tc>
        <w:tc>
          <w:tcPr>
            <w:tcW w:type="dxa" w:w="1223"/>
          </w:tcPr>
          <w:p>
            <w:pPr>
              <w:spacing w:after="40" w:before="40"/>
            </w:pPr>
            <w:r/>
            <w:r>
              <w:rPr>
                <w:i w:val="0"/>
                <w:color w:val="1A1A1A"/>
                <w:sz w:val="19"/>
              </w:rPr>
              <w:t>19–21</w:t>
            </w:r>
          </w:p>
        </w:tc>
        <w:tc>
          <w:tcPr>
            <w:tcW w:type="dxa" w:w="5458"/>
          </w:tcPr>
          <w:p>
            <w:pPr>
              <w:spacing w:after="40" w:before="40"/>
            </w:pPr>
            <w:r/>
            <w:r>
              <w:rPr>
                <w:i w:val="0"/>
                <w:color w:val="1A1A1A"/>
                <w:sz w:val="19"/>
              </w:rPr>
              <w:t>It is a program now, not a notebook</w:t>
            </w:r>
          </w:p>
        </w:tc>
        <w:tc>
          <w:tcPr>
            <w:tcW w:type="dxa" w:w="1882"/>
          </w:tcPr>
          <w:p>
            <w:pPr>
              <w:spacing w:after="40" w:before="40"/>
            </w:pPr>
            <w:r/>
          </w:p>
        </w:tc>
      </w:tr>
      <w:tr>
        <w:tc>
          <w:tcPr>
            <w:tcW w:type="dxa" w:w="847"/>
            <w:shd w:val="clear" w:fill="EEF2F7"/>
          </w:tcPr>
          <w:p>
            <w:pPr>
              <w:spacing w:after="40" w:before="40"/>
            </w:pPr>
            <w:r/>
            <w:r>
              <w:rPr>
                <w:i w:val="0"/>
                <w:color w:val="1A1A1A"/>
                <w:sz w:val="19"/>
              </w:rPr>
              <w:t>8</w:t>
            </w:r>
          </w:p>
        </w:tc>
        <w:tc>
          <w:tcPr>
            <w:tcW w:type="dxa" w:w="1223"/>
            <w:shd w:val="clear" w:fill="EEF2F7"/>
          </w:tcPr>
          <w:p>
            <w:pPr>
              <w:spacing w:after="40" w:before="40"/>
            </w:pPr>
            <w:r/>
            <w:r>
              <w:rPr>
                <w:i w:val="0"/>
                <w:color w:val="1A1A1A"/>
                <w:sz w:val="19"/>
              </w:rPr>
              <w:t>22–24</w:t>
            </w:r>
          </w:p>
        </w:tc>
        <w:tc>
          <w:tcPr>
            <w:tcW w:type="dxa" w:w="5458"/>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days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twenty-four sessions</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w:t>
      </w:r>
      <w:r>
        <w:rPr>
          <w:b/>
          <w:i w:val="0"/>
          <w:color w:val="1A1A1A"/>
          <w:sz w:val="21"/>
        </w:rPr>
        <w:t>D</w:t>
      </w:r>
      <w:r>
        <w:rPr>
          <w:i w:val="0"/>
          <w:color w:val="1A1A1A"/>
          <w:sz w:val="21"/>
        </w:rPr>
        <w:t xml:space="preserve"> marks a discovery day,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Day</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Session</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Days 1–19 use Jupyter notebooks; days 20–24 use plain Python files with a written guide beside them, because by then the participants are running a terminal. Day 19 doubles as the catch-up session — nothing new arrives, so anyone who has fallen behind has a session to recover in.</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Part 1</w:t>
            </w:r>
            <w:r>
              <w:rPr>
                <w:i w:val="0"/>
                <w:color w:val="1A1A1A"/>
                <w:sz w:val="19"/>
              </w:rPr>
              <w:t>, days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Day 24</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24 teaching sessions remain 20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day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day 13</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Days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Day 24</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Days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30 hours,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75 minutes; the shortcut is promised in writing before the long half starts; the work is never framed as an ordeal. A participant who leaves day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Thirty hours is not much</w:t>
            </w:r>
            <w:r>
              <w:rPr>
                <w:i w:val="0"/>
                <w:color w:val="1A1A1A"/>
                <w:sz w:val="18"/>
              </w:rPr>
              <w:t>, in 75-minute pieces, for working teachers</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three a week for eight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Every session is self-contained; worked solutions published after each one; day 19 is a catch-up session with nothing new in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three times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session plans are still written to 50 minutes</w:t>
            </w:r>
          </w:p>
        </w:tc>
        <w:tc>
          <w:tcPr>
            <w:tcW w:type="dxa" w:w="6211"/>
            <w:shd w:val="clear" w:fill="EEF2F7"/>
          </w:tcPr>
          <w:p>
            <w:pPr>
              <w:spacing w:after="40" w:before="40"/>
            </w:pPr>
            <w:r/>
            <w:r>
              <w:rPr>
                <w:i w:val="0"/>
                <w:color w:val="1A1A1A"/>
                <w:sz w:val="19"/>
              </w:rPr>
              <w:t>Sessions will run 75. The day map, topic order, discovery days and deliverables are unaffected; the per-session agendas are being rebuilt, with the extra time going to hands-on work</w:t>
            </w:r>
          </w:p>
        </w:tc>
      </w:tr>
      <w:tr>
        <w:tc>
          <w:tcPr>
            <w:tcW w:type="dxa" w:w="3200"/>
          </w:tcPr>
          <w:p>
            <w:pPr>
              <w:spacing w:after="40" w:before="40"/>
            </w:pPr>
            <w:r/>
            <w:r>
              <w:rPr>
                <w:b/>
                <w:i w:val="0"/>
                <w:color w:val="1A1A1A"/>
                <w:sz w:val="19"/>
              </w:rPr>
              <w:t>The toolchain may change</w:t>
            </w:r>
          </w:p>
        </w:tc>
        <w:tc>
          <w:tcPr>
            <w:tcW w:type="dxa" w:w="6211"/>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30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w:t>
            </w:r>
            <w:r>
              <w:rPr>
                <w:rFonts w:ascii="Consolas" w:hAnsi="Consolas"/>
                <w:i w:val="0"/>
                <w:color w:val="1A1A1A"/>
                <w:sz w:val="18"/>
              </w:rPr>
              <w:t>*args</w:t>
            </w:r>
            <w:r>
              <w:rPr>
                <w:i w:val="0"/>
                <w:color w:val="1A1A1A"/>
                <w:sz w:val="18"/>
              </w:rPr>
              <w:t>/</w:t>
            </w:r>
            <w:r>
              <w:rPr>
                <w:rFonts w:ascii="Consolas" w:hAnsi="Consolas"/>
                <w:i w:val="0"/>
                <w:color w:val="1A1A1A"/>
                <w:sz w:val="18"/>
              </w:rPr>
              <w:t>**kwargs</w:t>
            </w:r>
            <w:r>
              <w:rPr>
                <w:i w:val="0"/>
                <w:color w:val="1A1A1A"/>
                <w:sz w:val="18"/>
              </w:rPr>
              <w:t xml:space="preserve">, scope, comprehensions and </w:t>
            </w:r>
            <w:r>
              <w:rPr>
                <w:rFonts w:ascii="Consolas" w:hAnsi="Consolas"/>
                <w:i w:val="0"/>
                <w:color w:val="1A1A1A"/>
                <w:sz w:val="18"/>
              </w:rPr>
              <w:t>lambda</w:t>
            </w:r>
            <w:r>
              <w:rPr>
                <w:i w:val="0"/>
                <w:color w:val="1A1A1A"/>
                <w:sz w:val="18"/>
              </w:rPr>
              <w:t>,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two months of practice, the sequencing was right. State curriculum topic 16</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Recursion</w:t>
            </w:r>
          </w:p>
        </w:tc>
        <w:tc>
          <w:tcPr>
            <w:tcW w:type="dxa" w:w="5082"/>
            <w:shd w:val="clear" w:fill="EEF2F7"/>
          </w:tcPr>
          <w:p>
            <w:pPr>
              <w:spacing w:after="40" w:before="40"/>
            </w:pPr>
            <w:r/>
            <w:r>
              <w:rPr>
                <w:i w:val="0"/>
                <w:color w:val="1A1A1A"/>
                <w:sz w:val="18"/>
              </w:rPr>
              <w:t xml:space="preserve">Placed here for the same reason the state curriculum places it immediately after advanced functions: it is a fact about functions before it is a technique. </w:t>
            </w:r>
            <w:r>
              <w:rPr>
                <w:b/>
                <w:i w:val="0"/>
                <w:color w:val="1A1A1A"/>
                <w:sz w:val="18"/>
              </w:rPr>
              <w:t>Before classes</w:t>
            </w:r>
            <w:r>
              <w:rPr>
                <w:i w:val="0"/>
                <w:color w:val="1A1A1A"/>
                <w:sz w:val="18"/>
              </w:rPr>
              <w:t>, as the state curriculum has it. Topic 17</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shd w:val="clear" w:fill="EEF2F7"/>
          </w:tcPr>
          <w:p>
            <w:pPr>
              <w:spacing w:after="40" w:before="40"/>
            </w:pPr>
            <w:r/>
            <w:r>
              <w:rPr>
                <w:i w:val="0"/>
                <w:color w:val="1A1A1A"/>
                <w:sz w:val="18"/>
              </w:rPr>
              <w:t>Where structure starts to matter, and where a program becomes too big to hold in your head</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Objects and classes</w:t>
            </w:r>
            <w:r>
              <w:rPr>
                <w:i w:val="0"/>
                <w:color w:val="1A1A1A"/>
                <w:sz w:val="18"/>
              </w:rPr>
              <w:t>, including inheritance</w:t>
            </w:r>
          </w:p>
        </w:tc>
        <w:tc>
          <w:tcPr>
            <w:tcW w:type="dxa" w:w="5082"/>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4. Topics 18–19</w:t>
            </w:r>
          </w:p>
        </w:tc>
      </w:tr>
      <w:tr>
        <w:tc>
          <w:tcPr>
            <w:tcW w:type="dxa" w:w="565"/>
            <w:shd w:val="clear" w:fill="EEF2F7"/>
          </w:tcPr>
          <w:p>
            <w:pPr>
              <w:spacing w:after="40" w:before="40"/>
            </w:pPr>
            <w:r/>
            <w:r>
              <w:rPr>
                <w:i w:val="0"/>
                <w:color w:val="1A1A1A"/>
                <w:sz w:val="18"/>
              </w:rPr>
              <w:t>6</w:t>
            </w:r>
          </w:p>
        </w:tc>
        <w:tc>
          <w:tcPr>
            <w:tcW w:type="dxa" w:w="3764"/>
            <w:shd w:val="clear" w:fill="EEF2F7"/>
          </w:tcPr>
          <w:p>
            <w:pPr>
              <w:spacing w:after="40" w:before="40"/>
            </w:pPr>
            <w:r/>
            <w:r>
              <w:rPr>
                <w:b/>
                <w:i w:val="0"/>
                <w:color w:val="1A1A1A"/>
                <w:sz w:val="18"/>
              </w:rPr>
              <w:t>Libraries and environments</w:t>
            </w:r>
            <w:r>
              <w:rPr>
                <w:i w:val="0"/>
                <w:color w:val="1A1A1A"/>
                <w:sz w:val="18"/>
              </w:rPr>
              <w:t xml:space="preserve"> — </w:t>
            </w:r>
            <w:r>
              <w:rPr>
                <w:rFonts w:ascii="Consolas" w:hAnsi="Consolas"/>
                <w:i w:val="0"/>
                <w:color w:val="1A1A1A"/>
                <w:sz w:val="18"/>
              </w:rPr>
              <w:t>pip</w:t>
            </w:r>
            <w:r>
              <w:rPr>
                <w:i w:val="0"/>
                <w:color w:val="1A1A1A"/>
                <w:sz w:val="18"/>
              </w:rPr>
              <w:t>, NumPy, Matplotlib, pandas, Colab and Kaggle</w:t>
            </w:r>
          </w:p>
        </w:tc>
        <w:tc>
          <w:tcPr>
            <w:tcW w:type="dxa" w:w="5082"/>
            <w:shd w:val="clear" w:fill="EEF2F7"/>
          </w:tcPr>
          <w:p>
            <w:pPr>
              <w:spacing w:after="40" w:before="40"/>
            </w:pPr>
            <w:r/>
            <w:r>
              <w:rPr>
                <w:i w:val="0"/>
                <w:color w:val="1A1A1A"/>
                <w:sz w:val="18"/>
              </w:rPr>
              <w:t xml:space="preserve">Together the largest block in the state curriculum, and the bridge into the Artificial Intelligence subject beside Python. </w:t>
            </w:r>
            <w:r>
              <w:rPr>
                <w:b/>
                <w:i w:val="0"/>
                <w:color w:val="1A1A1A"/>
                <w:sz w:val="18"/>
              </w:rPr>
              <w:t>This stage deliberately breaks Part 1's standard-library-only rule</w:t>
            </w:r>
            <w:r>
              <w:rPr>
                <w:i w:val="0"/>
                <w:color w:val="1A1A1A"/>
                <w:sz w:val="18"/>
              </w:rPr>
              <w:t>, which has done its job by then. Topics 15 and 21</w:t>
            </w:r>
          </w:p>
        </w:tc>
      </w:tr>
    </w:tbl>
    <w:p>
      <w:pPr>
        <w:spacing w:after="80"/>
      </w:pPr>
    </w:p>
    <w:p>
      <w:pPr>
        <w:spacing w:after="140"/>
      </w:pPr>
      <w:r>
        <w:rPr>
          <w:b/>
          <w:i/>
          <w:color w:val="1A1A1A"/>
          <w:sz w:val="21"/>
        </w:rPr>
        <w:t>Git and version control</w:t>
      </w:r>
      <w:r>
        <w:rPr>
          <w:i/>
          <w:color w:val="1A1A1A"/>
          <w:sz w:val="21"/>
        </w:rPr>
        <w:t xml:space="preserve"> (state curriculum topic 23) stays out of scope and is revisited once Part 1 reports: if the cohort arrives at Part 2 comfortably, git and the remaining tooling go in; if not, the time is better spent elsewhere.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30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4423"/>
        <w:gridCol w:w="1223"/>
        <w:gridCol w:w="3764"/>
      </w:tblGrid>
      <w:tr>
        <w:trPr>
          <w:tblHeader w:val="true"/>
        </w:trPr>
        <w:tc>
          <w:tcPr>
            <w:tcW w:type="dxa" w:w="4423"/>
            <w:shd w:val="clear" w:fill="1F3A5F"/>
          </w:tcPr>
          <w:p>
            <w:pPr>
              <w:spacing w:after="40" w:before="40"/>
            </w:pPr>
            <w:r/>
            <w:r>
              <w:rPr>
                <w:b/>
                <w:color w:val="FFFFFF"/>
                <w:sz w:val="19"/>
              </w:rPr>
              <w:t>Material</w:t>
            </w:r>
          </w:p>
        </w:tc>
        <w:tc>
          <w:tcPr>
            <w:tcW w:type="dxa" w:w="1223"/>
            <w:shd w:val="clear" w:fill="1F3A5F"/>
          </w:tcPr>
          <w:p>
            <w:pPr>
              <w:spacing w:after="40" w:before="40"/>
            </w:pPr>
            <w:r/>
            <w:r>
              <w:rPr>
                <w:b/>
                <w:color w:val="FFFFFF"/>
                <w:sz w:val="19"/>
              </w:rPr>
              <w:t>Count</w:t>
            </w:r>
          </w:p>
        </w:tc>
        <w:tc>
          <w:tcPr>
            <w:tcW w:type="dxa" w:w="3764"/>
            <w:shd w:val="clear" w:fill="1F3A5F"/>
          </w:tcPr>
          <w:p>
            <w:pPr>
              <w:spacing w:after="40" w:before="40"/>
            </w:pPr>
            <w:r/>
            <w:r>
              <w:rPr>
                <w:b/>
                <w:color w:val="FFFFFF"/>
                <w:sz w:val="19"/>
              </w:rPr>
              <w:t>Audience</w:t>
            </w:r>
          </w:p>
        </w:tc>
      </w:tr>
      <w:tr>
        <w:tc>
          <w:tcPr>
            <w:tcW w:type="dxa" w:w="4423"/>
          </w:tcPr>
          <w:p>
            <w:pPr>
              <w:spacing w:after="40" w:before="40"/>
            </w:pPr>
            <w:r/>
            <w:r>
              <w:rPr>
                <w:i w:val="0"/>
                <w:color w:val="1A1A1A"/>
                <w:sz w:val="19"/>
              </w:rPr>
              <w:t>Lesson notebooks (days 1–19)</w:t>
            </w:r>
          </w:p>
        </w:tc>
        <w:tc>
          <w:tcPr>
            <w:tcW w:type="dxa" w:w="1223"/>
          </w:tcPr>
          <w:p>
            <w:pPr>
              <w:spacing w:after="40" w:before="40"/>
            </w:pPr>
            <w:r/>
            <w:r>
              <w:rPr>
                <w:i w:val="0"/>
                <w:color w:val="1A1A1A"/>
                <w:sz w:val="19"/>
              </w:rPr>
              <w:t>19</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Written guides (days 20–24)</w:t>
            </w:r>
          </w:p>
        </w:tc>
        <w:tc>
          <w:tcPr>
            <w:tcW w:type="dxa" w:w="1223"/>
            <w:shd w:val="clear" w:fill="EEF2F7"/>
          </w:tcPr>
          <w:p>
            <w:pPr>
              <w:spacing w:after="40" w:before="40"/>
            </w:pPr>
            <w:r/>
            <w:r>
              <w:rPr>
                <w:i w:val="0"/>
                <w:color w:val="1A1A1A"/>
                <w:sz w:val="19"/>
              </w:rPr>
              <w:t>5</w:t>
            </w:r>
          </w:p>
        </w:tc>
        <w:tc>
          <w:tcPr>
            <w:tcW w:type="dxa" w:w="3764"/>
            <w:shd w:val="clear" w:fill="EEF2F7"/>
          </w:tcPr>
          <w:p>
            <w:pPr>
              <w:spacing w:after="40" w:before="40"/>
            </w:pPr>
            <w:r/>
            <w:r>
              <w:rPr>
                <w:i w:val="0"/>
                <w:color w:val="1A1A1A"/>
                <w:sz w:val="19"/>
              </w:rPr>
              <w:t>Participant</w:t>
            </w:r>
          </w:p>
        </w:tc>
      </w:tr>
      <w:tr>
        <w:tc>
          <w:tcPr>
            <w:tcW w:type="dxa" w:w="4423"/>
          </w:tcPr>
          <w:p>
            <w:pPr>
              <w:spacing w:after="40" w:before="40"/>
            </w:pPr>
            <w:r/>
            <w:r>
              <w:rPr>
                <w:i w:val="0"/>
                <w:color w:val="1A1A1A"/>
                <w:sz w:val="19"/>
              </w:rPr>
              <w:t>Worked solutions</w:t>
            </w:r>
          </w:p>
        </w:tc>
        <w:tc>
          <w:tcPr>
            <w:tcW w:type="dxa" w:w="1223"/>
          </w:tcPr>
          <w:p>
            <w:pPr>
              <w:spacing w:after="40" w:before="40"/>
            </w:pPr>
            <w:r/>
            <w:r>
              <w:rPr>
                <w:i w:val="0"/>
                <w:color w:val="1A1A1A"/>
                <w:sz w:val="19"/>
              </w:rPr>
              <w:t>18</w:t>
            </w:r>
          </w:p>
        </w:tc>
        <w:tc>
          <w:tcPr>
            <w:tcW w:type="dxa" w:w="3764"/>
          </w:tcPr>
          <w:p>
            <w:pPr>
              <w:spacing w:after="40" w:before="40"/>
            </w:pPr>
            <w:r/>
            <w:r>
              <w:rPr>
                <w:i w:val="0"/>
                <w:color w:val="1A1A1A"/>
                <w:sz w:val="19"/>
              </w:rPr>
              <w:t>Participant, after each session</w:t>
            </w:r>
          </w:p>
        </w:tc>
      </w:tr>
      <w:tr>
        <w:tc>
          <w:tcPr>
            <w:tcW w:type="dxa" w:w="4423"/>
            <w:shd w:val="clear" w:fill="EEF2F7"/>
          </w:tcPr>
          <w:p>
            <w:pPr>
              <w:spacing w:after="40" w:before="40"/>
            </w:pPr>
            <w:r/>
            <w:r>
              <w:rPr>
                <w:i w:val="0"/>
                <w:color w:val="1A1A1A"/>
                <w:sz w:val="19"/>
              </w:rPr>
              <w:t>Assessments — grader's and participant versions</w:t>
            </w:r>
          </w:p>
        </w:tc>
        <w:tc>
          <w:tcPr>
            <w:tcW w:type="dxa" w:w="1223"/>
            <w:shd w:val="clear" w:fill="EEF2F7"/>
          </w:tcPr>
          <w:p>
            <w:pPr>
              <w:spacing w:after="40" w:before="40"/>
            </w:pPr>
            <w:r/>
            <w:r>
              <w:rPr>
                <w:i w:val="0"/>
                <w:color w:val="1A1A1A"/>
                <w:sz w:val="19"/>
              </w:rPr>
              <w:t>3 × 2</w:t>
            </w:r>
          </w:p>
        </w:tc>
        <w:tc>
          <w:tcPr>
            <w:tcW w:type="dxa" w:w="3764"/>
            <w:shd w:val="clear" w:fill="EEF2F7"/>
          </w:tcPr>
          <w:p>
            <w:pPr>
              <w:spacing w:after="40" w:before="40"/>
            </w:pPr>
            <w:r/>
            <w:r>
              <w:rPr>
                <w:i w:val="0"/>
                <w:color w:val="1A1A1A"/>
                <w:sz w:val="19"/>
              </w:rPr>
              <w:t>Participant / instructor</w:t>
            </w:r>
          </w:p>
        </w:tc>
      </w:tr>
      <w:tr>
        <w:tc>
          <w:tcPr>
            <w:tcW w:type="dxa" w:w="4423"/>
          </w:tcPr>
          <w:p>
            <w:pPr>
              <w:spacing w:after="40" w:before="40"/>
            </w:pPr>
            <w:r/>
            <w:r>
              <w:rPr>
                <w:i w:val="0"/>
                <w:color w:val="1A1A1A"/>
                <w:sz w:val="19"/>
              </w:rPr>
              <w:t>Assessment marking guides</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Instructor only</w:t>
            </w:r>
          </w:p>
        </w:tc>
      </w:tr>
      <w:tr>
        <w:tc>
          <w:tcPr>
            <w:tcW w:type="dxa" w:w="4423"/>
            <w:shd w:val="clear" w:fill="EEF2F7"/>
          </w:tcPr>
          <w:p>
            <w:pPr>
              <w:spacing w:after="40" w:before="40"/>
            </w:pPr>
            <w:r/>
            <w:r>
              <w:rPr>
                <w:i w:val="0"/>
                <w:color w:val="1A1A1A"/>
                <w:sz w:val="19"/>
              </w:rPr>
              <w:t>Reference program</w:t>
            </w:r>
          </w:p>
        </w:tc>
        <w:tc>
          <w:tcPr>
            <w:tcW w:type="dxa" w:w="1223"/>
            <w:shd w:val="clear" w:fill="EEF2F7"/>
          </w:tcPr>
          <w:p>
            <w:pPr>
              <w:spacing w:after="40" w:before="40"/>
            </w:pPr>
            <w:r/>
            <w:r>
              <w:rPr>
                <w:i w:val="0"/>
                <w:color w:val="1A1A1A"/>
                <w:sz w:val="19"/>
              </w:rPr>
              <w:t>4 files</w:t>
            </w:r>
          </w:p>
        </w:tc>
        <w:tc>
          <w:tcPr>
            <w:tcW w:type="dxa" w:w="3764"/>
            <w:shd w:val="clear" w:fill="EEF2F7"/>
          </w:tcPr>
          <w:p>
            <w:pPr>
              <w:spacing w:after="40" w:before="40"/>
            </w:pPr>
            <w:r/>
            <w:r>
              <w:rPr>
                <w:i w:val="0"/>
                <w:color w:val="1A1A1A"/>
                <w:sz w:val="19"/>
              </w:rPr>
              <w:t>Participant, from day 21</w:t>
            </w:r>
          </w:p>
        </w:tc>
      </w:tr>
      <w:tr>
        <w:tc>
          <w:tcPr>
            <w:tcW w:type="dxa" w:w="4423"/>
          </w:tcPr>
          <w:p>
            <w:pPr>
              <w:spacing w:after="40" w:before="40"/>
            </w:pPr>
            <w:r/>
            <w:r>
              <w:rPr>
                <w:i w:val="0"/>
                <w:color w:val="1A1A1A"/>
                <w:sz w:val="19"/>
              </w:rPr>
              <w:t>Installation instructions, reference sheet, setup check</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Instructor notes, curriculum, build specification</w:t>
            </w:r>
          </w:p>
        </w:tc>
        <w:tc>
          <w:tcPr>
            <w:tcW w:type="dxa" w:w="1223"/>
            <w:shd w:val="clear" w:fill="EEF2F7"/>
          </w:tcPr>
          <w:p>
            <w:pPr>
              <w:spacing w:after="40" w:before="40"/>
            </w:pPr>
            <w:r/>
            <w:r>
              <w:rPr>
                <w:i w:val="0"/>
                <w:color w:val="1A1A1A"/>
                <w:sz w:val="19"/>
              </w:rPr>
              <w:t>3</w:t>
            </w:r>
          </w:p>
        </w:tc>
        <w:tc>
          <w:tcPr>
            <w:tcW w:type="dxa" w:w="3764"/>
            <w:shd w:val="clear" w:fill="EEF2F7"/>
          </w:tcPr>
          <w:p>
            <w:pPr>
              <w:spacing w:after="40" w:before="40"/>
            </w:pPr>
            <w:r/>
            <w:r>
              <w:rPr>
                <w:i w:val="0"/>
                <w:color w:val="1A1A1A"/>
                <w:sz w:val="19"/>
              </w:rPr>
              <w:t>Instructor / organiser</w:t>
            </w:r>
          </w:p>
        </w:tc>
      </w:tr>
      <w:tr>
        <w:tc>
          <w:tcPr>
            <w:tcW w:type="dxa" w:w="4423"/>
          </w:tcPr>
          <w:p>
            <w:pPr>
              <w:spacing w:after="40" w:before="40"/>
            </w:pPr>
            <w:r/>
            <w:r>
              <w:rPr>
                <w:i w:val="0"/>
                <w:color w:val="1A1A1A"/>
                <w:sz w:val="19"/>
              </w:rPr>
              <w:t>Recruitment announcement</w:t>
            </w:r>
          </w:p>
        </w:tc>
        <w:tc>
          <w:tcPr>
            <w:tcW w:type="dxa" w:w="1223"/>
          </w:tcPr>
          <w:p>
            <w:pPr>
              <w:spacing w:after="40" w:before="40"/>
            </w:pPr>
            <w:r/>
            <w:r>
              <w:rPr>
                <w:i w:val="0"/>
                <w:color w:val="1A1A1A"/>
                <w:sz w:val="19"/>
              </w:rPr>
              <w:t>1</w:t>
            </w:r>
          </w:p>
        </w:tc>
        <w:tc>
          <w:tcPr>
            <w:tcW w:type="dxa" w:w="3764"/>
          </w:tcPr>
          <w:p>
            <w:pPr>
              <w:spacing w:after="40" w:before="40"/>
            </w:pPr>
            <w:r/>
            <w:r>
              <w:rPr>
                <w:i w:val="0"/>
                <w:color w:val="1A1A1A"/>
                <w:sz w:val="19"/>
              </w:rPr>
              <w:t>Prospective participants</w:t>
            </w:r>
          </w:p>
        </w:tc>
      </w:tr>
    </w:tbl>
    <w:p>
      <w:pPr>
        <w:spacing w:after="80"/>
      </w:pPr>
    </w:p>
    <w:p>
      <w:pPr>
        <w:spacing w:after="140"/>
      </w:pPr>
      <w:r>
        <w:rPr>
          <w:i w:val="0"/>
          <w:color w:val="1A1A1A"/>
          <w:sz w:val="21"/>
        </w:rPr>
        <w:t>Materials are held in a version-controlled repository with four automated checks that must pass before any change is accepted: session arithmetic, execution of all 43 notebooks, the language and dependency rules, and the finished program running end to end. Nothing is reported as complete on the strength of inspection alone.</w:t>
      </w:r>
    </w:p>
    <w:p>
      <w:pPr>
        <w:pBdr>
          <w:bottom w:val="single" w:sz="6" w:space="4" w:color="1F3A5F"/>
        </w:pBdr>
      </w:pPr>
    </w:p>
    <w:p>
      <w:pPr>
        <w:spacing w:after="140"/>
      </w:pPr>
      <w:r>
        <w:rPr>
          <w:i w:val="0"/>
          <w:color w:val="5A5A5A"/>
          <w:sz w:val="18"/>
        </w:rPr>
        <w:t>Programme dossier v1.7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