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Structure</w:t>
            </w:r>
          </w:p>
        </w:tc>
        <w:tc>
          <w:tcPr>
            <w:tcW w:type="dxa" w:w="7811"/>
          </w:tcPr>
          <w:p>
            <w:pPr>
              <w:spacing w:after="40" w:before="40"/>
            </w:pPr>
            <w:r/>
            <w:r>
              <w:rPr>
                <w:b/>
                <w:i w:val="0"/>
                <w:color w:val="1A1A1A"/>
                <w:sz w:val="19"/>
              </w:rPr>
              <w:t>Two courses, one per school grade.</w:t>
            </w:r>
            <w:r>
              <w:rPr>
                <w:i w:val="0"/>
                <w:color w:val="1A1A1A"/>
                <w:sz w:val="19"/>
              </w:rPr>
              <w:t xml:space="preserve"> Each is a </w:t>
            </w:r>
            <w:r>
              <w:rPr>
                <w:b/>
                <w:i w:val="0"/>
                <w:color w:val="1A1A1A"/>
                <w:sz w:val="19"/>
              </w:rPr>
              <w:t>practical Part 1 of 2 months</w:t>
            </w:r>
            <w:r>
              <w:rPr>
                <w:i w:val="0"/>
                <w:color w:val="1A1A1A"/>
                <w:sz w:val="19"/>
              </w:rPr>
              <w:t xml:space="preserve"> and a </w:t>
            </w:r>
            <w:r>
              <w:rPr>
                <w:b/>
                <w:i w:val="0"/>
                <w:color w:val="1A1A1A"/>
                <w:sz w:val="19"/>
              </w:rPr>
              <w:t>theoretical Part 2 of 4 months</w:t>
            </w:r>
            <w:r>
              <w:rPr>
                <w:i w:val="0"/>
                <w:color w:val="1A1A1A"/>
                <w:sz w:val="19"/>
              </w:rPr>
              <w:t xml:space="preserve"> that runs only if its Part 1 succeeds. </w:t>
            </w:r>
            <w:r>
              <w:rPr>
                <w:b/>
                <w:i w:val="0"/>
                <w:color w:val="1A1A1A"/>
                <w:sz w:val="19"/>
              </w:rPr>
              <w:t>Sections 1–10 describe the grade-10 course's Part 1; section 11 describes the grade-11 course's Part 1.</w:t>
            </w:r>
            <w:r>
              <w:rPr>
                <w:i w:val="0"/>
                <w:color w:val="1A1A1A"/>
                <w:sz w:val="19"/>
              </w:rPr>
              <w:t xml:space="preserve"> Both are built and verified.</w:t>
            </w:r>
          </w:p>
        </w:tc>
      </w:tr>
      <w:tr>
        <w:tc>
          <w:tcPr>
            <w:tcW w:type="dxa" w:w="1600"/>
            <w:shd w:val="clear" w:fill="EEF2F7"/>
          </w:tcPr>
          <w:p>
            <w:pPr>
              <w:spacing w:after="40" w:before="40"/>
            </w:pPr>
            <w:r/>
            <w:r>
              <w:rPr>
                <w:i w:val="0"/>
                <w:color w:val="1A1A1A"/>
                <w:sz w:val="19"/>
              </w:rPr>
              <w:t>Part 1 format</w:t>
            </w:r>
          </w:p>
        </w:tc>
        <w:tc>
          <w:tcPr>
            <w:tcW w:type="dxa" w:w="7811"/>
            <w:shd w:val="clear" w:fill="EEF2F7"/>
          </w:tcPr>
          <w:p>
            <w:pPr>
              <w:spacing w:after="40" w:before="40"/>
            </w:pPr>
            <w:r/>
            <w:r>
              <w:rPr>
                <w:i w:val="0"/>
                <w:color w:val="1A1A1A"/>
                <w:sz w:val="19"/>
              </w:rPr>
              <w:t xml:space="preserve">18 sessions × 75 minutes = </w:t>
            </w:r>
            <w:r>
              <w:rPr>
                <w:b/>
                <w:i w:val="0"/>
                <w:color w:val="1A1A1A"/>
                <w:sz w:val="19"/>
              </w:rPr>
              <w:t>22½ hours</w:t>
            </w:r>
            <w:r>
              <w:rPr>
                <w:i w:val="0"/>
                <w:color w:val="1A1A1A"/>
                <w:sz w:val="19"/>
              </w:rPr>
              <w:t xml:space="preserve">, </w:t>
            </w:r>
            <w:r>
              <w:rPr>
                <w:b/>
                <w:i w:val="0"/>
                <w:color w:val="1A1A1A"/>
                <w:sz w:val="19"/>
              </w:rPr>
              <w:t>twice a week</w:t>
            </w:r>
            <w:r>
              <w:rPr>
                <w:i w:val="0"/>
                <w:color w:val="1A1A1A"/>
                <w:sz w:val="19"/>
              </w:rPr>
              <w:t xml:space="preserve"> over nine weeks, plus homework between sessions and three assessment sittings</w:t>
            </w:r>
          </w:p>
        </w:tc>
      </w:tr>
      <w:tr>
        <w:tc>
          <w:tcPr>
            <w:tcW w:type="dxa" w:w="1600"/>
          </w:tcPr>
          <w:p>
            <w:pPr>
              <w:spacing w:after="40" w:before="40"/>
            </w:pPr>
            <w:r/>
            <w:r>
              <w:rPr>
                <w:i w:val="0"/>
                <w:color w:val="1A1A1A"/>
                <w:sz w:val="19"/>
              </w:rPr>
              <w:t>Delivery</w:t>
            </w:r>
          </w:p>
        </w:tc>
        <w:tc>
          <w:tcPr>
            <w:tcW w:type="dxa" w:w="7811"/>
          </w:tcPr>
          <w:p>
            <w:pPr>
              <w:spacing w:after="40" w:before="40"/>
            </w:pPr>
            <w:r/>
            <w:r>
              <w:rPr>
                <w:b/>
                <w:i w:val="0"/>
                <w:color w:val="1A1A1A"/>
                <w:sz w:val="19"/>
              </w:rPr>
              <w:t>Remote</w:t>
            </w:r>
            <w:r>
              <w:rPr>
                <w:i w:val="0"/>
                <w:color w:val="1A1A1A"/>
                <w:sz w:val="19"/>
              </w:rPr>
              <w:t>, over Google Meet with screen sharing</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b/>
                <w:i w:val="0"/>
                <w:color w:val="1A1A1A"/>
                <w:sz w:val="19"/>
              </w:rPr>
              <w:t>4–8 per group</w:t>
            </w:r>
            <w:r>
              <w:rPr>
                <w:i w:val="0"/>
                <w:color w:val="1A1A1A"/>
                <w:sz w:val="19"/>
              </w:rPr>
              <w:t>,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four-file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Judged by</w:t>
            </w:r>
          </w:p>
        </w:tc>
        <w:tc>
          <w:tcPr>
            <w:tcW w:type="dxa" w:w="7811"/>
            <w:shd w:val="clear" w:fill="EEF2F7"/>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tcPr>
          <w:p>
            <w:pPr>
              <w:spacing w:after="40" w:before="40"/>
            </w:pPr>
            <w:r/>
            <w:r>
              <w:rPr>
                <w:i w:val="0"/>
                <w:color w:val="1A1A1A"/>
                <w:sz w:val="19"/>
              </w:rPr>
              <w:t>Status</w:t>
            </w:r>
          </w:p>
        </w:tc>
        <w:tc>
          <w:tcPr>
            <w:tcW w:type="dxa" w:w="7811"/>
          </w:tcPr>
          <w:p>
            <w:pPr>
              <w:spacing w:after="40" w:before="40"/>
            </w:pPr>
            <w:r/>
            <w:r>
              <w:rPr>
                <w:b/>
                <w:i w:val="0"/>
                <w:color w:val="1A1A1A"/>
                <w:sz w:val="19"/>
              </w:rPr>
              <w:t>Both Part 1 courses are complete and verified. Neither has been taught to a cohort.</w:t>
            </w:r>
            <w:r>
              <w:rPr>
                <w:i w:val="0"/>
                <w:color w:val="1A1A1A"/>
                <w:sz w:val="19"/>
              </w:rPr>
              <w:t xml:space="preserve"> Both Part 2s are visions</w:t>
            </w:r>
          </w:p>
        </w:tc>
      </w:tr>
      <w:tr>
        <w:tc>
          <w:tcPr>
            <w:tcW w:type="dxa" w:w="1600"/>
            <w:shd w:val="clear" w:fill="EEF2F7"/>
          </w:tcPr>
          <w:p>
            <w:pPr>
              <w:spacing w:after="40" w:before="40"/>
            </w:pPr>
            <w:r/>
            <w:r>
              <w:rPr>
                <w:i w:val="0"/>
                <w:color w:val="1A1A1A"/>
                <w:sz w:val="19"/>
              </w:rPr>
              <w:t>Version</w:t>
            </w:r>
          </w:p>
        </w:tc>
        <w:tc>
          <w:tcPr>
            <w:tcW w:type="dxa" w:w="7811"/>
            <w:shd w:val="clear" w:fill="EEF2F7"/>
          </w:tcPr>
          <w:p>
            <w:pPr>
              <w:spacing w:after="40" w:before="40"/>
            </w:pPr>
            <w:r/>
            <w:r>
              <w:rPr>
                <w:i w:val="0"/>
                <w:color w:val="1A1A1A"/>
                <w:sz w:val="19"/>
              </w:rPr>
              <w:t>3.1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b/>
                <w:i w:val="0"/>
                <w:color w:val="1A1A1A"/>
                <w:sz w:val="20"/>
              </w:rPr>
              <w:t>Sections 1–10 describe the grade-10 course</w:t>
            </w:r>
            <w:r>
              <w:rPr>
                <w:i w:val="0"/>
                <w:color w:val="1A1A1A"/>
                <w:sz w:val="20"/>
              </w:rPr>
              <w:t xml:space="preserve"> — the method, the schedule, the curriculum, the expected results and the assessment. The method is shared by both courses, so section 3 is worth reading whichever one interests you.</w:t>
            </w:r>
          </w:p>
          <w:p>
            <w:pPr>
              <w:spacing w:after="20"/>
            </w:pPr>
            <w:r>
              <w:rPr>
                <w:b/>
                <w:i w:val="0"/>
                <w:color w:val="1A1A1A"/>
                <w:sz w:val="20"/>
              </w:rPr>
              <w:t>Section 11 is the grade-11 course in full</w:t>
            </w:r>
            <w:r>
              <w:rPr>
                <w:i w:val="0"/>
                <w:color w:val="1A1A1A"/>
                <w:sz w:val="20"/>
              </w:rPr>
              <w:t xml:space="preserve"> — its own curriculum, schedule, assessment and deliverable, and what it assumes a teacher already knows on its first day.</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 xml:space="preserve">A programme for public-school teachers who have never written a line of code. </w:t>
      </w:r>
      <w:r>
        <w:rPr>
          <w:b/>
          <w:i w:val="0"/>
          <w:color w:val="1A1A1A"/>
          <w:sz w:val="21"/>
        </w:rPr>
        <w:t>It is now two courses — one preparing a teacher for grade 10, one for grade 11 — and each is a practical Part 1 of two months followed by a theoretical Part 2 of four.</w:t>
      </w:r>
      <w:r>
        <w:rPr>
          <w:i w:val="0"/>
          <w:color w:val="1A1A1A"/>
          <w:sz w:val="21"/>
        </w:rPr>
        <w:t xml:space="preserve"> This dossier describes the </w:t>
      </w:r>
      <w:r>
        <w:rPr>
          <w:b/>
          <w:i w:val="0"/>
          <w:color w:val="1A1A1A"/>
          <w:sz w:val="21"/>
        </w:rPr>
        <w:t>grade-10 course's Part 1</w:t>
      </w:r>
      <w:r>
        <w:rPr>
          <w:i w:val="0"/>
          <w:color w:val="1A1A1A"/>
          <w:sz w:val="21"/>
        </w:rPr>
        <w:t xml:space="preserve">; </w:t>
      </w:r>
      <w:r>
        <w:rPr>
          <w:b/>
          <w:i w:val="0"/>
          <w:color w:val="1A1A1A"/>
          <w:sz w:val="21"/>
        </w:rPr>
        <w:t>section 11 is the grade-11 course in full</w:t>
      </w:r>
      <w:r>
        <w:rPr>
          <w:i w:val="0"/>
          <w:color w:val="1A1A1A"/>
          <w:sz w:val="21"/>
        </w:rPr>
        <w:t xml:space="preserve">, which is also built. Part 1 is eighteen sessions of 75 minutes, twice a week for nine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Part 1 is a two-month experiment with a decision at the end, not a finished methodology.</w:t>
            </w:r>
            <w:r>
              <w:rPr>
                <w:i w:val="0"/>
                <w:color w:val="1A1A1A"/>
                <w:sz w:val="20"/>
              </w:rPr>
              <w:t xml:space="preserve"> It is built and verified. </w:t>
            </w:r>
            <w:r>
              <w:rPr>
                <w:b/>
                <w:i w:val="0"/>
                <w:color w:val="1A1A1A"/>
                <w:sz w:val="20"/>
              </w:rPr>
              <w:t>Part 2 — the four months that follow — is a vision that runs only if Part 1 succeeds</w:t>
            </w:r>
            <w:r>
              <w:rPr>
                <w:i w:val="0"/>
                <w:color w:val="1A1A1A"/>
                <w:sz w:val="20"/>
              </w:rPr>
              <w:t xml:space="preserve">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18 sessions, twice a week over nine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75 minutes, twice a week — 18 × 75 = 22½ hours, and the practice that no longer fits in the room is set as homework drawn from tasks the notebooks already carry. Once the cohort has adapted we may move to three of eighty minutes; the topic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9"/>
              </w:rPr>
              <w:t>Week</w:t>
            </w:r>
          </w:p>
        </w:tc>
        <w:tc>
          <w:tcPr>
            <w:tcW w:type="dxa" w:w="1129"/>
            <w:shd w:val="clear" w:fill="1F3A5F"/>
          </w:tcPr>
          <w:p>
            <w:pPr>
              <w:spacing w:after="40" w:before="40"/>
            </w:pPr>
            <w:r/>
            <w:r>
              <w:rPr>
                <w:b/>
                <w:color w:val="FFFFFF"/>
                <w:sz w:val="19"/>
              </w:rPr>
              <w:t>Sessions</w:t>
            </w:r>
          </w:p>
        </w:tc>
        <w:tc>
          <w:tcPr>
            <w:tcW w:type="dxa" w:w="1035"/>
            <w:shd w:val="clear" w:fill="1F3A5F"/>
          </w:tcPr>
          <w:p>
            <w:pPr>
              <w:spacing w:after="40" w:before="40"/>
            </w:pPr>
            <w:r/>
            <w:r>
              <w:rPr>
                <w:b/>
                <w:color w:val="FFFFFF"/>
                <w:sz w:val="19"/>
              </w:rPr>
              <w:t>Topics</w:t>
            </w:r>
          </w:p>
        </w:tc>
        <w:tc>
          <w:tcPr>
            <w:tcW w:type="dxa" w:w="4611"/>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753"/>
          </w:tcPr>
          <w:p>
            <w:pPr>
              <w:spacing w:after="40" w:before="40"/>
            </w:pPr>
            <w:r/>
            <w:r>
              <w:rPr>
                <w:i w:val="0"/>
                <w:color w:val="1A1A1A"/>
                <w:sz w:val="19"/>
              </w:rPr>
              <w:t>1</w:t>
            </w:r>
          </w:p>
        </w:tc>
        <w:tc>
          <w:tcPr>
            <w:tcW w:type="dxa" w:w="1129"/>
          </w:tcPr>
          <w:p>
            <w:pPr>
              <w:spacing w:after="40" w:before="40"/>
            </w:pPr>
            <w:r/>
            <w:r>
              <w:rPr>
                <w:i w:val="0"/>
                <w:color w:val="1A1A1A"/>
                <w:sz w:val="19"/>
              </w:rPr>
              <w:t>1–2</w:t>
            </w:r>
          </w:p>
        </w:tc>
        <w:tc>
          <w:tcPr>
            <w:tcW w:type="dxa" w:w="1035"/>
          </w:tcPr>
          <w:p>
            <w:pPr>
              <w:spacing w:after="40" w:before="40"/>
            </w:pPr>
            <w:r/>
            <w:r>
              <w:rPr>
                <w:i w:val="0"/>
                <w:color w:val="1A1A1A"/>
                <w:sz w:val="19"/>
              </w:rPr>
              <w:t>1–4</w:t>
            </w:r>
          </w:p>
        </w:tc>
        <w:tc>
          <w:tcPr>
            <w:tcW w:type="dxa" w:w="4611"/>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session 1</w:t>
            </w:r>
          </w:p>
        </w:tc>
      </w:tr>
      <w:tr>
        <w:tc>
          <w:tcPr>
            <w:tcW w:type="dxa" w:w="753"/>
            <w:shd w:val="clear" w:fill="EEF2F7"/>
          </w:tcPr>
          <w:p>
            <w:pPr>
              <w:spacing w:after="40" w:before="40"/>
            </w:pPr>
            <w:r/>
            <w:r>
              <w:rPr>
                <w:i w:val="0"/>
                <w:color w:val="1A1A1A"/>
                <w:sz w:val="19"/>
              </w:rPr>
              <w:t>2</w:t>
            </w:r>
          </w:p>
        </w:tc>
        <w:tc>
          <w:tcPr>
            <w:tcW w:type="dxa" w:w="1129"/>
            <w:shd w:val="clear" w:fill="EEF2F7"/>
          </w:tcPr>
          <w:p>
            <w:pPr>
              <w:spacing w:after="40" w:before="40"/>
            </w:pPr>
            <w:r/>
            <w:r>
              <w:rPr>
                <w:i w:val="0"/>
                <w:color w:val="1A1A1A"/>
                <w:sz w:val="19"/>
              </w:rPr>
              <w:t>3–4</w:t>
            </w:r>
          </w:p>
        </w:tc>
        <w:tc>
          <w:tcPr>
            <w:tcW w:type="dxa" w:w="1035"/>
            <w:shd w:val="clear" w:fill="EEF2F7"/>
          </w:tcPr>
          <w:p>
            <w:pPr>
              <w:spacing w:after="40" w:before="40"/>
            </w:pPr>
            <w:r/>
            <w:r>
              <w:rPr>
                <w:i w:val="0"/>
                <w:color w:val="1A1A1A"/>
                <w:sz w:val="19"/>
              </w:rPr>
              <w:t>5–6</w:t>
            </w:r>
          </w:p>
        </w:tc>
        <w:tc>
          <w:tcPr>
            <w:tcW w:type="dxa" w:w="4611"/>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753"/>
          </w:tcPr>
          <w:p>
            <w:pPr>
              <w:spacing w:after="40" w:before="40"/>
            </w:pPr>
            <w:r/>
            <w:r>
              <w:rPr>
                <w:i w:val="0"/>
                <w:color w:val="1A1A1A"/>
                <w:sz w:val="19"/>
              </w:rPr>
              <w:t>3</w:t>
            </w:r>
          </w:p>
        </w:tc>
        <w:tc>
          <w:tcPr>
            <w:tcW w:type="dxa" w:w="1129"/>
          </w:tcPr>
          <w:p>
            <w:pPr>
              <w:spacing w:after="40" w:before="40"/>
            </w:pPr>
            <w:r/>
            <w:r>
              <w:rPr>
                <w:i w:val="0"/>
                <w:color w:val="1A1A1A"/>
                <w:sz w:val="19"/>
              </w:rPr>
              <w:t>5–6</w:t>
            </w:r>
          </w:p>
        </w:tc>
        <w:tc>
          <w:tcPr>
            <w:tcW w:type="dxa" w:w="1035"/>
          </w:tcPr>
          <w:p>
            <w:pPr>
              <w:spacing w:after="40" w:before="40"/>
            </w:pPr>
            <w:r/>
            <w:r>
              <w:rPr>
                <w:i w:val="0"/>
                <w:color w:val="1A1A1A"/>
                <w:sz w:val="19"/>
              </w:rPr>
              <w:t>7–8</w:t>
            </w:r>
          </w:p>
        </w:tc>
        <w:tc>
          <w:tcPr>
            <w:tcW w:type="dxa" w:w="4611"/>
          </w:tcPr>
          <w:p>
            <w:pPr>
              <w:spacing w:after="40" w:before="40"/>
            </w:pPr>
            <w:r/>
            <w:r>
              <w:rPr>
                <w:i w:val="0"/>
                <w:color w:val="1A1A1A"/>
                <w:sz w:val="19"/>
              </w:rPr>
              <w:t>Every data type I need, and I can find one student</w:t>
            </w:r>
          </w:p>
        </w:tc>
        <w:tc>
          <w:tcPr>
            <w:tcW w:type="dxa" w:w="1882"/>
          </w:tcPr>
          <w:p>
            <w:pPr>
              <w:spacing w:after="40" w:before="40"/>
            </w:pPr>
            <w:r/>
          </w:p>
        </w:tc>
      </w:tr>
      <w:tr>
        <w:tc>
          <w:tcPr>
            <w:tcW w:type="dxa" w:w="753"/>
            <w:shd w:val="clear" w:fill="EEF2F7"/>
          </w:tcPr>
          <w:p>
            <w:pPr>
              <w:spacing w:after="40" w:before="40"/>
            </w:pPr>
            <w:r/>
            <w:r>
              <w:rPr>
                <w:i w:val="0"/>
                <w:color w:val="1A1A1A"/>
                <w:sz w:val="19"/>
              </w:rPr>
              <w:t>4</w:t>
            </w:r>
          </w:p>
        </w:tc>
        <w:tc>
          <w:tcPr>
            <w:tcW w:type="dxa" w:w="1129"/>
            <w:shd w:val="clear" w:fill="EEF2F7"/>
          </w:tcPr>
          <w:p>
            <w:pPr>
              <w:spacing w:after="40" w:before="40"/>
            </w:pPr>
            <w:r/>
            <w:r>
              <w:rPr>
                <w:i w:val="0"/>
                <w:color w:val="1A1A1A"/>
                <w:sz w:val="19"/>
              </w:rPr>
              <w:t>7–8</w:t>
            </w:r>
          </w:p>
        </w:tc>
        <w:tc>
          <w:tcPr>
            <w:tcW w:type="dxa" w:w="1035"/>
            <w:shd w:val="clear" w:fill="EEF2F7"/>
          </w:tcPr>
          <w:p>
            <w:pPr>
              <w:spacing w:after="40" w:before="40"/>
            </w:pPr>
            <w:r/>
            <w:r>
              <w:rPr>
                <w:i w:val="0"/>
                <w:color w:val="1A1A1A"/>
                <w:sz w:val="19"/>
              </w:rPr>
              <w:t>9–11</w:t>
            </w:r>
          </w:p>
        </w:tc>
        <w:tc>
          <w:tcPr>
            <w:tcW w:type="dxa" w:w="4611"/>
            <w:shd w:val="clear" w:fill="EEF2F7"/>
          </w:tcPr>
          <w:p>
            <w:pPr>
              <w:spacing w:after="40" w:before="40"/>
            </w:pPr>
            <w:r/>
            <w:r>
              <w:rPr>
                <w:i w:val="0"/>
                <w:color w:val="1A1A1A"/>
                <w:sz w:val="19"/>
              </w:rPr>
              <w:t>Conditions, then one loop marks thirty students</w:t>
            </w:r>
          </w:p>
        </w:tc>
        <w:tc>
          <w:tcPr>
            <w:tcW w:type="dxa" w:w="1882"/>
            <w:shd w:val="clear" w:fill="EEF2F7"/>
          </w:tcPr>
          <w:p>
            <w:pPr>
              <w:spacing w:after="40" w:before="40"/>
            </w:pPr>
            <w:r/>
          </w:p>
        </w:tc>
      </w:tr>
      <w:tr>
        <w:tc>
          <w:tcPr>
            <w:tcW w:type="dxa" w:w="753"/>
          </w:tcPr>
          <w:p>
            <w:pPr>
              <w:spacing w:after="40" w:before="40"/>
            </w:pPr>
            <w:r/>
            <w:r>
              <w:rPr>
                <w:i w:val="0"/>
                <w:color w:val="1A1A1A"/>
                <w:sz w:val="19"/>
              </w:rPr>
              <w:t>5</w:t>
            </w:r>
          </w:p>
        </w:tc>
        <w:tc>
          <w:tcPr>
            <w:tcW w:type="dxa" w:w="1129"/>
          </w:tcPr>
          <w:p>
            <w:pPr>
              <w:spacing w:after="40" w:before="40"/>
            </w:pPr>
            <w:r/>
            <w:r>
              <w:rPr>
                <w:i w:val="0"/>
                <w:color w:val="1A1A1A"/>
                <w:sz w:val="19"/>
              </w:rPr>
              <w:t>9–10</w:t>
            </w:r>
          </w:p>
        </w:tc>
        <w:tc>
          <w:tcPr>
            <w:tcW w:type="dxa" w:w="1035"/>
          </w:tcPr>
          <w:p>
            <w:pPr>
              <w:spacing w:after="40" w:before="40"/>
            </w:pPr>
            <w:r/>
            <w:r>
              <w:rPr>
                <w:i w:val="0"/>
                <w:color w:val="1A1A1A"/>
                <w:sz w:val="19"/>
              </w:rPr>
              <w:t>12–15</w:t>
            </w:r>
          </w:p>
        </w:tc>
        <w:tc>
          <w:tcPr>
            <w:tcW w:type="dxa" w:w="4611"/>
          </w:tcPr>
          <w:p>
            <w:pPr>
              <w:spacing w:after="40" w:before="40"/>
            </w:pPr>
            <w:r/>
            <w:r>
              <w:rPr>
                <w:i w:val="0"/>
                <w:color w:val="1A1A1A"/>
                <w:sz w:val="19"/>
              </w:rPr>
              <w:t>I can compute and report on the whole class</w:t>
            </w:r>
          </w:p>
        </w:tc>
        <w:tc>
          <w:tcPr>
            <w:tcW w:type="dxa" w:w="1882"/>
          </w:tcPr>
          <w:p>
            <w:pPr>
              <w:spacing w:after="40" w:before="40"/>
            </w:pPr>
            <w:r/>
            <w:r>
              <w:rPr>
                <w:b/>
                <w:i w:val="0"/>
                <w:color w:val="1A1A1A"/>
                <w:sz w:val="19"/>
              </w:rPr>
              <w:t>Midpoint</w:t>
            </w:r>
          </w:p>
        </w:tc>
      </w:tr>
      <w:tr>
        <w:tc>
          <w:tcPr>
            <w:tcW w:type="dxa" w:w="753"/>
            <w:shd w:val="clear" w:fill="EEF2F7"/>
          </w:tcPr>
          <w:p>
            <w:pPr>
              <w:spacing w:after="40" w:before="40"/>
            </w:pPr>
            <w:r/>
            <w:r>
              <w:rPr>
                <w:i w:val="0"/>
                <w:color w:val="1A1A1A"/>
                <w:sz w:val="19"/>
              </w:rPr>
              <w:t>6</w:t>
            </w:r>
          </w:p>
        </w:tc>
        <w:tc>
          <w:tcPr>
            <w:tcW w:type="dxa" w:w="1129"/>
            <w:shd w:val="clear" w:fill="EEF2F7"/>
          </w:tcPr>
          <w:p>
            <w:pPr>
              <w:spacing w:after="40" w:before="40"/>
            </w:pPr>
            <w:r/>
            <w:r>
              <w:rPr>
                <w:i w:val="0"/>
                <w:color w:val="1A1A1A"/>
                <w:sz w:val="19"/>
              </w:rPr>
              <w:t>11–12</w:t>
            </w:r>
          </w:p>
        </w:tc>
        <w:tc>
          <w:tcPr>
            <w:tcW w:type="dxa" w:w="1035"/>
            <w:shd w:val="clear" w:fill="EEF2F7"/>
          </w:tcPr>
          <w:p>
            <w:pPr>
              <w:spacing w:after="40" w:before="40"/>
            </w:pPr>
            <w:r/>
            <w:r>
              <w:rPr>
                <w:i w:val="0"/>
                <w:color w:val="1A1A1A"/>
                <w:sz w:val="19"/>
              </w:rPr>
              <w:t>16–17</w:t>
            </w:r>
          </w:p>
        </w:tc>
        <w:tc>
          <w:tcPr>
            <w:tcW w:type="dxa" w:w="4611"/>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753"/>
          </w:tcPr>
          <w:p>
            <w:pPr>
              <w:spacing w:after="40" w:before="40"/>
            </w:pPr>
            <w:r/>
            <w:r>
              <w:rPr>
                <w:i w:val="0"/>
                <w:color w:val="1A1A1A"/>
                <w:sz w:val="19"/>
              </w:rPr>
              <w:t>7</w:t>
            </w:r>
          </w:p>
        </w:tc>
        <w:tc>
          <w:tcPr>
            <w:tcW w:type="dxa" w:w="1129"/>
          </w:tcPr>
          <w:p>
            <w:pPr>
              <w:spacing w:after="40" w:before="40"/>
            </w:pPr>
            <w:r/>
            <w:r>
              <w:rPr>
                <w:i w:val="0"/>
                <w:color w:val="1A1A1A"/>
                <w:sz w:val="19"/>
              </w:rPr>
              <w:t>13–14</w:t>
            </w:r>
          </w:p>
        </w:tc>
        <w:tc>
          <w:tcPr>
            <w:tcW w:type="dxa" w:w="1035"/>
          </w:tcPr>
          <w:p>
            <w:pPr>
              <w:spacing w:after="40" w:before="40"/>
            </w:pPr>
            <w:r/>
            <w:r>
              <w:rPr>
                <w:i w:val="0"/>
                <w:color w:val="1A1A1A"/>
                <w:sz w:val="19"/>
              </w:rPr>
              <w:t>18–21</w:t>
            </w:r>
          </w:p>
        </w:tc>
        <w:tc>
          <w:tcPr>
            <w:tcW w:type="dxa" w:w="4611"/>
          </w:tcPr>
          <w:p>
            <w:pPr>
              <w:spacing w:after="40" w:before="40"/>
            </w:pPr>
            <w:r/>
            <w:r>
              <w:rPr>
                <w:i w:val="0"/>
                <w:color w:val="1A1A1A"/>
                <w:sz w:val="19"/>
              </w:rPr>
              <w:t>It is a program now, not a notebook</w:t>
            </w:r>
          </w:p>
        </w:tc>
        <w:tc>
          <w:tcPr>
            <w:tcW w:type="dxa" w:w="1882"/>
          </w:tcPr>
          <w:p>
            <w:pPr>
              <w:spacing w:after="40" w:before="40"/>
            </w:pPr>
            <w:r/>
          </w:p>
        </w:tc>
      </w:tr>
      <w:tr>
        <w:tc>
          <w:tcPr>
            <w:tcW w:type="dxa" w:w="753"/>
            <w:shd w:val="clear" w:fill="EEF2F7"/>
          </w:tcPr>
          <w:p>
            <w:pPr>
              <w:spacing w:after="40" w:before="40"/>
            </w:pPr>
            <w:r/>
            <w:r>
              <w:rPr>
                <w:i w:val="0"/>
                <w:color w:val="1A1A1A"/>
                <w:sz w:val="19"/>
              </w:rPr>
              <w:t>8</w:t>
            </w:r>
          </w:p>
        </w:tc>
        <w:tc>
          <w:tcPr>
            <w:tcW w:type="dxa" w:w="1129"/>
            <w:shd w:val="clear" w:fill="EEF2F7"/>
          </w:tcPr>
          <w:p>
            <w:pPr>
              <w:spacing w:after="40" w:before="40"/>
            </w:pPr>
            <w:r/>
            <w:r>
              <w:rPr>
                <w:i w:val="0"/>
                <w:color w:val="1A1A1A"/>
                <w:sz w:val="19"/>
              </w:rPr>
              <w:t>15–16</w:t>
            </w:r>
          </w:p>
        </w:tc>
        <w:tc>
          <w:tcPr>
            <w:tcW w:type="dxa" w:w="1035"/>
            <w:shd w:val="clear" w:fill="EEF2F7"/>
          </w:tcPr>
          <w:p>
            <w:pPr>
              <w:spacing w:after="40" w:before="40"/>
            </w:pPr>
            <w:r/>
            <w:r>
              <w:rPr>
                <w:i w:val="0"/>
                <w:color w:val="1A1A1A"/>
                <w:sz w:val="19"/>
              </w:rPr>
              <w:t>22–24</w:t>
            </w:r>
          </w:p>
        </w:tc>
        <w:tc>
          <w:tcPr>
            <w:tcW w:type="dxa" w:w="4611"/>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sessions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grade-10 course</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The course teaches </w:t>
      </w:r>
      <w:r>
        <w:rPr>
          <w:b/>
          <w:i w:val="0"/>
          <w:color w:val="1A1A1A"/>
          <w:sz w:val="21"/>
        </w:rPr>
        <w:t>24 topics across 18 sessions of 75 minutes</w:t>
      </w:r>
      <w:r>
        <w:rPr>
          <w:i w:val="0"/>
          <w:color w:val="1A1A1A"/>
          <w:sz w:val="21"/>
        </w:rPr>
        <w:t xml:space="preserve">: a topic is one notebook and one idea, a session is 75 minutes in a room. </w:t>
      </w:r>
      <w:r>
        <w:rPr>
          <w:b/>
          <w:i w:val="0"/>
          <w:color w:val="1A1A1A"/>
          <w:sz w:val="21"/>
        </w:rPr>
        <w:t>D</w:t>
      </w:r>
      <w:r>
        <w:rPr>
          <w:i w:val="0"/>
          <w:color w:val="1A1A1A"/>
          <w:sz w:val="21"/>
        </w:rPr>
        <w:t xml:space="preserve"> marks a discovery session,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Topics 1–19 use Jupyter notebooks; topics 20–24 use plain Python files with a written guide beside them, because by then the participants are running a terminal. Topic 19 doubles as the catch-up — nothing new arrives, so anyone who has fallen behind has time to recover.</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the grade-10 course</w:t>
            </w:r>
            <w:r>
              <w:rPr>
                <w:i w:val="0"/>
                <w:color w:val="1A1A1A"/>
                <w:sz w:val="19"/>
              </w:rPr>
              <w:t>, topics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Session 18</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18 teaching sessions remain 22½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session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session 10</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Topics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Session 18</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Topics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22½ hours in the room,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session; the shortcut is promised in writing before the long half starts; the work is never framed as an ordeal. A participant who leaves topic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Twenty-two and a half hours is not much</w:t>
            </w:r>
            <w:r>
              <w:rPr>
                <w:i w:val="0"/>
                <w:color w:val="1A1A1A"/>
                <w:sz w:val="18"/>
              </w:rPr>
              <w:t>, in 75-minute pieces, for working teachers — and more of the practice is now at home than on any earlier schedule</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twice a week for nine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 xml:space="preserve">Every topic is self-contained; worked solutions published after each session; topic 19 is a catch-up with nothing new in it. </w:t>
            </w:r>
            <w:r>
              <w:rPr>
                <w:b/>
                <w:i w:val="0"/>
                <w:color w:val="1A1A1A"/>
                <w:sz w:val="18"/>
              </w:rPr>
              <w:t>A missed session now costs more than it did on the old three-a-week schedule</w:t>
            </w:r>
            <w:r>
              <w:rPr>
                <w:i w:val="0"/>
                <w:color w:val="1A1A1A"/>
                <w:sz w:val="18"/>
              </w:rPr>
              <w:t xml:space="preserve"> — it is two hours and two topics, not one — and the recap block at the start of every session exists for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twice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toolchain may change</w:t>
            </w:r>
          </w:p>
        </w:tc>
        <w:tc>
          <w:tcPr>
            <w:tcW w:type="dxa" w:w="6211"/>
            <w:shd w:val="clear" w:fill="EEF2F7"/>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22½ hours in the room enough</w:t>
      </w:r>
      <w:r>
        <w:rPr>
          <w:i w:val="0"/>
          <w:color w:val="1A1A1A"/>
          <w:sz w:val="21"/>
        </w:rPr>
        <w:t xml:space="preserve"> — with the rest set as homework —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grade-11 course</w:t>
      </w:r>
    </w:p>
    <w:p>
      <w:pPr>
        <w:spacing w:after="140"/>
      </w:pPr>
      <w:r>
        <w:rPr>
          <w:i w:val="0"/>
          <w:color w:val="1A1A1A"/>
          <w:sz w:val="21"/>
        </w:rPr>
        <w:t xml:space="preserve">Since this dossier was last issued, a </w:t>
      </w:r>
      <w:r>
        <w:rPr>
          <w:b/>
          <w:i w:val="0"/>
          <w:color w:val="1A1A1A"/>
          <w:sz w:val="21"/>
        </w:rPr>
        <w:t>second course has been built and verified</w:t>
      </w:r>
      <w:r>
        <w:rPr>
          <w:i w:val="0"/>
          <w:color w:val="1A1A1A"/>
          <w:sz w:val="21"/>
        </w:rPr>
        <w:t xml:space="preserve">. It takes a teacher who has finished the course described above and prepares them to teach </w:t>
      </w:r>
      <w:r>
        <w:rPr>
          <w:b/>
          <w:i w:val="0"/>
          <w:color w:val="1A1A1A"/>
          <w:sz w:val="21"/>
        </w:rPr>
        <w:t>grade 11</w:t>
      </w:r>
      <w:r>
        <w:rPr>
          <w:i w:val="0"/>
          <w:color w:val="1A1A1A"/>
          <w:sz w:val="21"/>
        </w:rPr>
        <w:t>. It is the same length, the same shape and the same method: eighteen sessions of 75 minutes, twice a week for nine weeks, delivered remotely in groups of four to eight.</w:t>
      </w:r>
    </w:p>
    <w:tbl>
      <w:tblPr>
        <w:tblStyle w:val="TableGrid"/>
        <w:tblW w:type="auto" w:w="0"/>
        <w:jc w:val="center"/>
        <w:tblLayout w:type="fixed"/>
        <w:tblLook w:firstColumn="1" w:firstRow="1" w:lastColumn="0" w:lastRow="0" w:noHBand="0" w:noVBand="1" w:val="04A0"/>
      </w:tblPr>
      <w:tblGrid>
        <w:gridCol w:w="1506"/>
        <w:gridCol w:w="3953"/>
        <w:gridCol w:w="3953"/>
      </w:tblGrid>
      <w:tr>
        <w:trPr>
          <w:tblHeader w:val="true"/>
        </w:trPr>
        <w:tc>
          <w:tcPr>
            <w:tcW w:type="dxa" w:w="1506"/>
            <w:shd w:val="clear" w:fill="1F3A5F"/>
          </w:tcPr>
          <w:p>
            <w:pPr>
              <w:spacing w:after="40" w:before="40"/>
            </w:pPr>
            <w:r/>
            <w:r>
              <w:rPr>
                <w:b/>
                <w:color w:val="FFFFFF"/>
                <w:sz w:val="19"/>
              </w:rPr>
            </w:r>
          </w:p>
        </w:tc>
        <w:tc>
          <w:tcPr>
            <w:tcW w:type="dxa" w:w="3953"/>
            <w:shd w:val="clear" w:fill="1F3A5F"/>
          </w:tcPr>
          <w:p>
            <w:pPr>
              <w:spacing w:after="40" w:before="40"/>
            </w:pPr>
            <w:r/>
            <w:r>
              <w:rPr>
                <w:b/>
                <w:color w:val="FFFFFF"/>
                <w:sz w:val="19"/>
              </w:rPr>
              <w:t>Grade-10 course</w:t>
            </w:r>
          </w:p>
        </w:tc>
        <w:tc>
          <w:tcPr>
            <w:tcW w:type="dxa" w:w="3953"/>
            <w:shd w:val="clear" w:fill="1F3A5F"/>
          </w:tcPr>
          <w:p>
            <w:pPr>
              <w:spacing w:after="40" w:before="40"/>
            </w:pPr>
            <w:r/>
            <w:r>
              <w:rPr>
                <w:b/>
                <w:color w:val="FFFFFF"/>
                <w:sz w:val="19"/>
              </w:rPr>
              <w:t>Grade-11 course</w:t>
            </w:r>
          </w:p>
        </w:tc>
      </w:tr>
      <w:tr>
        <w:tc>
          <w:tcPr>
            <w:tcW w:type="dxa" w:w="1506"/>
          </w:tcPr>
          <w:p>
            <w:pPr>
              <w:spacing w:after="40" w:before="40"/>
            </w:pPr>
            <w:r/>
            <w:r>
              <w:rPr>
                <w:i w:val="0"/>
                <w:color w:val="1A1A1A"/>
                <w:sz w:val="19"/>
              </w:rPr>
              <w:t>Entry</w:t>
            </w:r>
          </w:p>
        </w:tc>
        <w:tc>
          <w:tcPr>
            <w:tcW w:type="dxa" w:w="3953"/>
          </w:tcPr>
          <w:p>
            <w:pPr>
              <w:spacing w:after="40" w:before="40"/>
            </w:pPr>
            <w:r/>
            <w:r>
              <w:rPr>
                <w:b/>
                <w:i w:val="0"/>
                <w:color w:val="1A1A1A"/>
                <w:sz w:val="19"/>
              </w:rPr>
              <w:t>None.</w:t>
            </w:r>
            <w:r>
              <w:rPr>
                <w:i w:val="0"/>
                <w:color w:val="1A1A1A"/>
                <w:sz w:val="19"/>
              </w:rPr>
              <w:t xml:space="preserve"> Begins with installing software</w:t>
            </w:r>
          </w:p>
        </w:tc>
        <w:tc>
          <w:tcPr>
            <w:tcW w:type="dxa" w:w="3953"/>
          </w:tcPr>
          <w:p>
            <w:pPr>
              <w:spacing w:after="40" w:before="40"/>
            </w:pPr>
            <w:r/>
            <w:r>
              <w:rPr>
                <w:b/>
                <w:i w:val="0"/>
                <w:color w:val="1A1A1A"/>
                <w:sz w:val="19"/>
              </w:rPr>
              <w:t>The grade-10 course</w:t>
            </w:r>
            <w:r>
              <w:rPr>
                <w:i w:val="0"/>
                <w:color w:val="1A1A1A"/>
                <w:sz w:val="19"/>
              </w:rPr>
              <w:t>, and nothing beyond it</w:t>
            </w:r>
          </w:p>
        </w:tc>
      </w:tr>
      <w:tr>
        <w:tc>
          <w:tcPr>
            <w:tcW w:type="dxa" w:w="1506"/>
            <w:shd w:val="clear" w:fill="EEF2F7"/>
          </w:tcPr>
          <w:p>
            <w:pPr>
              <w:spacing w:after="40" w:before="40"/>
            </w:pPr>
            <w:r/>
            <w:r>
              <w:rPr>
                <w:i w:val="0"/>
                <w:color w:val="1A1A1A"/>
                <w:sz w:val="19"/>
              </w:rPr>
              <w:t>State topics</w:t>
            </w:r>
          </w:p>
        </w:tc>
        <w:tc>
          <w:tcPr>
            <w:tcW w:type="dxa" w:w="3953"/>
            <w:shd w:val="clear" w:fill="EEF2F7"/>
          </w:tcPr>
          <w:p>
            <w:pPr>
              <w:spacing w:after="40" w:before="40"/>
            </w:pPr>
            <w:r/>
            <w:r>
              <w:rPr>
                <w:i w:val="0"/>
                <w:color w:val="1A1A1A"/>
                <w:sz w:val="19"/>
              </w:rPr>
              <w:t>1–14</w:t>
            </w:r>
          </w:p>
        </w:tc>
        <w:tc>
          <w:tcPr>
            <w:tcW w:type="dxa" w:w="3953"/>
            <w:shd w:val="clear" w:fill="EEF2F7"/>
          </w:tcPr>
          <w:p>
            <w:pPr>
              <w:spacing w:after="40" w:before="40"/>
            </w:pPr>
            <w:r/>
            <w:r>
              <w:rPr>
                <w:i w:val="0"/>
                <w:color w:val="1A1A1A"/>
                <w:sz w:val="19"/>
              </w:rPr>
              <w:t>15–22 and 24</w:t>
            </w:r>
          </w:p>
        </w:tc>
      </w:tr>
      <w:tr>
        <w:tc>
          <w:tcPr>
            <w:tcW w:type="dxa" w:w="1506"/>
          </w:tcPr>
          <w:p>
            <w:pPr>
              <w:spacing w:after="40" w:before="40"/>
            </w:pPr>
            <w:r/>
            <w:r>
              <w:rPr>
                <w:i w:val="0"/>
                <w:color w:val="1A1A1A"/>
                <w:sz w:val="19"/>
              </w:rPr>
              <w:t>Spine</w:t>
            </w:r>
          </w:p>
        </w:tc>
        <w:tc>
          <w:tcPr>
            <w:tcW w:type="dxa" w:w="3953"/>
          </w:tcPr>
          <w:p>
            <w:pPr>
              <w:spacing w:after="40" w:before="40"/>
            </w:pPr>
            <w:r/>
            <w:r>
              <w:rPr>
                <w:i w:val="0"/>
                <w:color w:val="1A1A1A"/>
                <w:sz w:val="19"/>
              </w:rPr>
              <w:t>one class, in dictionaries</w:t>
            </w:r>
          </w:p>
        </w:tc>
        <w:tc>
          <w:tcPr>
            <w:tcW w:type="dxa" w:w="3953"/>
          </w:tcPr>
          <w:p>
            <w:pPr>
              <w:spacing w:after="40" w:before="40"/>
            </w:pPr>
            <w:r/>
            <w:r>
              <w:rPr>
                <w:b/>
                <w:i w:val="0"/>
                <w:color w:val="1A1A1A"/>
                <w:sz w:val="19"/>
              </w:rPr>
              <w:t>the whole school</w:t>
            </w:r>
            <w:r>
              <w:rPr>
                <w:i w:val="0"/>
                <w:color w:val="1A1A1A"/>
                <w:sz w:val="19"/>
              </w:rPr>
              <w:t>, as objects with statistics and charts</w:t>
            </w:r>
          </w:p>
        </w:tc>
      </w:tr>
      <w:tr>
        <w:tc>
          <w:tcPr>
            <w:tcW w:type="dxa" w:w="1506"/>
            <w:shd w:val="clear" w:fill="EEF2F7"/>
          </w:tcPr>
          <w:p>
            <w:pPr>
              <w:spacing w:after="40" w:before="40"/>
            </w:pPr>
            <w:r/>
            <w:r>
              <w:rPr>
                <w:i w:val="0"/>
                <w:color w:val="1A1A1A"/>
                <w:sz w:val="19"/>
              </w:rPr>
              <w:t>Teaches</w:t>
            </w:r>
          </w:p>
        </w:tc>
        <w:tc>
          <w:tcPr>
            <w:tcW w:type="dxa" w:w="3953"/>
            <w:shd w:val="clear" w:fill="EEF2F7"/>
          </w:tcPr>
          <w:p>
            <w:pPr>
              <w:spacing w:after="40" w:before="40"/>
            </w:pPr>
            <w:r/>
            <w:r>
              <w:rPr>
                <w:i w:val="0"/>
                <w:color w:val="1A1A1A"/>
                <w:sz w:val="19"/>
              </w:rPr>
              <w:t>print, types, variables, lists, dictionaries, conditions, loops, functions, files</w:t>
            </w:r>
          </w:p>
        </w:tc>
        <w:tc>
          <w:tcPr>
            <w:tcW w:type="dxa" w:w="3953"/>
            <w:shd w:val="clear" w:fill="EEF2F7"/>
          </w:tcPr>
          <w:p>
            <w:pPr>
              <w:spacing w:after="40" w:before="40"/>
            </w:pPr>
            <w:r/>
            <w:r>
              <w:rPr>
                <w:b/>
                <w:i w:val="0"/>
                <w:color w:val="1A1A1A"/>
                <w:sz w:val="19"/>
              </w:rPr>
              <w:t>classes, inheritance, NumPy, Matplotlib, pandas, recursion, debugging</w:t>
            </w:r>
          </w:p>
        </w:tc>
      </w:tr>
      <w:tr>
        <w:tc>
          <w:tcPr>
            <w:tcW w:type="dxa" w:w="1506"/>
          </w:tcPr>
          <w:p>
            <w:pPr>
              <w:spacing w:after="40" w:before="40"/>
            </w:pPr>
            <w:r/>
            <w:r>
              <w:rPr>
                <w:i w:val="0"/>
                <w:color w:val="1A1A1A"/>
                <w:sz w:val="19"/>
              </w:rPr>
              <w:t>Deliverable</w:t>
            </w:r>
          </w:p>
        </w:tc>
        <w:tc>
          <w:tcPr>
            <w:tcW w:type="dxa" w:w="3953"/>
          </w:tcPr>
          <w:p>
            <w:pPr>
              <w:spacing w:after="40" w:before="40"/>
            </w:pPr>
            <w:r/>
            <w:r>
              <w:rPr>
                <w:i w:val="0"/>
                <w:color w:val="1A1A1A"/>
                <w:sz w:val="19"/>
              </w:rPr>
              <w:t>a four-file gradebook over the teacher's own class</w:t>
            </w:r>
          </w:p>
        </w:tc>
        <w:tc>
          <w:tcPr>
            <w:tcW w:type="dxa" w:w="3953"/>
          </w:tcPr>
          <w:p>
            <w:pPr>
              <w:spacing w:after="40" w:before="40"/>
            </w:pPr>
            <w:r/>
            <w:r>
              <w:rPr>
                <w:i w:val="0"/>
                <w:color w:val="1A1A1A"/>
                <w:sz w:val="19"/>
              </w:rPr>
              <w:t xml:space="preserve">a </w:t>
            </w:r>
            <w:r>
              <w:rPr>
                <w:b/>
                <w:i w:val="0"/>
                <w:color w:val="1A1A1A"/>
                <w:sz w:val="19"/>
              </w:rPr>
              <w:t>five-file report tool</w:t>
            </w:r>
            <w:r>
              <w:rPr>
                <w:i w:val="0"/>
                <w:color w:val="1A1A1A"/>
                <w:sz w:val="19"/>
              </w:rPr>
              <w:t xml:space="preserve"> over the teacher's own school file, with charts</w:t>
            </w:r>
          </w:p>
        </w:tc>
      </w:tr>
      <w:tr>
        <w:tc>
          <w:tcPr>
            <w:tcW w:type="dxa" w:w="1506"/>
            <w:shd w:val="clear" w:fill="EEF2F7"/>
          </w:tcPr>
          <w:p>
            <w:pPr>
              <w:spacing w:after="40" w:before="40"/>
            </w:pPr>
            <w:r/>
            <w:r>
              <w:rPr>
                <w:i w:val="0"/>
                <w:color w:val="1A1A1A"/>
                <w:sz w:val="19"/>
              </w:rPr>
              <w:t>Discovery sessions</w:t>
            </w:r>
          </w:p>
        </w:tc>
        <w:tc>
          <w:tcPr>
            <w:tcW w:type="dxa" w:w="3953"/>
            <w:shd w:val="clear" w:fill="EEF2F7"/>
          </w:tcPr>
          <w:p>
            <w:pPr>
              <w:spacing w:after="40" w:before="40"/>
            </w:pPr>
            <w:r/>
            <w:r>
              <w:rPr>
                <w:i w:val="0"/>
                <w:color w:val="1A1A1A"/>
                <w:sz w:val="19"/>
              </w:rPr>
              <w:t>5 of 18</w:t>
            </w:r>
          </w:p>
        </w:tc>
        <w:tc>
          <w:tcPr>
            <w:tcW w:type="dxa" w:w="3953"/>
            <w:shd w:val="clear" w:fill="EEF2F7"/>
          </w:tcPr>
          <w:p>
            <w:pPr>
              <w:spacing w:after="40" w:before="40"/>
            </w:pPr>
            <w:r/>
            <w:r>
              <w:rPr>
                <w:b/>
                <w:i w:val="0"/>
                <w:color w:val="1A1A1A"/>
                <w:sz w:val="19"/>
              </w:rPr>
              <w:t>7 of 18</w:t>
            </w:r>
          </w:p>
        </w:tc>
      </w:tr>
      <w:tr>
        <w:tc>
          <w:tcPr>
            <w:tcW w:type="dxa" w:w="1506"/>
          </w:tcPr>
          <w:p>
            <w:pPr>
              <w:spacing w:after="40" w:before="40"/>
            </w:pPr>
            <w:r/>
            <w:r>
              <w:rPr>
                <w:i w:val="0"/>
                <w:color w:val="1A1A1A"/>
                <w:sz w:val="19"/>
              </w:rPr>
              <w:t>Status</w:t>
            </w:r>
          </w:p>
        </w:tc>
        <w:tc>
          <w:tcPr>
            <w:tcW w:type="dxa" w:w="3953"/>
          </w:tcPr>
          <w:p>
            <w:pPr>
              <w:spacing w:after="40" w:before="40"/>
            </w:pPr>
            <w:r/>
            <w:r>
              <w:rPr>
                <w:i w:val="0"/>
                <w:color w:val="1A1A1A"/>
                <w:sz w:val="19"/>
              </w:rPr>
              <w:t>built and verified</w:t>
            </w:r>
          </w:p>
        </w:tc>
        <w:tc>
          <w:tcPr>
            <w:tcW w:type="dxa" w:w="3953"/>
          </w:tcPr>
          <w:p>
            <w:pPr>
              <w:spacing w:after="40" w:before="40"/>
            </w:pPr>
            <w:r/>
            <w:r>
              <w:rPr>
                <w:b/>
                <w:i w:val="0"/>
                <w:color w:val="1A1A1A"/>
                <w:sz w:val="19"/>
              </w:rPr>
              <w:t>built and verified</w:t>
            </w:r>
          </w:p>
        </w:tc>
      </w:tr>
    </w:tbl>
    <w:p>
      <w:pPr>
        <w:spacing w:after="80"/>
      </w:pPr>
    </w:p>
    <w:p>
      <w:pPr>
        <w:pStyle w:val="Heading2"/>
      </w:pPr>
      <w:r>
        <w:t>What changes between them, and why</w:t>
      </w:r>
    </w:p>
    <w:p>
      <w:pPr>
        <w:spacing w:after="140"/>
      </w:pPr>
      <w:r>
        <w:rPr>
          <w:i w:val="0"/>
          <w:color w:val="1A1A1A"/>
          <w:sz w:val="21"/>
        </w:rPr>
        <w:t xml:space="preserve">Two rules invert, and both inversions are deliberate. The grade-10 course </w:t>
      </w:r>
      <w:r>
        <w:rPr>
          <w:b/>
          <w:i w:val="0"/>
          <w:color w:val="1A1A1A"/>
          <w:sz w:val="21"/>
        </w:rPr>
        <w:t>forbids classes and every third-party library</w:t>
      </w:r>
      <w:r>
        <w:rPr>
          <w:i w:val="0"/>
          <w:color w:val="1A1A1A"/>
          <w:sz w:val="21"/>
        </w:rPr>
        <w:t xml:space="preserve">, because they would let a participant skip the mechanics the course exists to build. The grade-11 course </w:t>
      </w:r>
      <w:r>
        <w:rPr>
          <w:b/>
          <w:i w:val="0"/>
          <w:color w:val="1A1A1A"/>
          <w:sz w:val="21"/>
        </w:rPr>
        <w:t>makes classes its centre and teaches three libraries</w:t>
      </w:r>
      <w:r>
        <w:rPr>
          <w:i w:val="0"/>
          <w:color w:val="1A1A1A"/>
          <w:sz w:val="21"/>
        </w:rPr>
        <w:t>, because those are state topics 18, 19, 15, 20 and 21, and a teacher has to be able to demonstrate them.</w:t>
      </w:r>
    </w:p>
    <w:p>
      <w:pPr>
        <w:spacing w:after="140"/>
      </w:pPr>
      <w:r>
        <w:rPr>
          <w:b/>
          <w:i w:val="0"/>
          <w:color w:val="1A1A1A"/>
          <w:sz w:val="21"/>
        </w:rPr>
        <w:t>The order is preserved even so.</w:t>
      </w:r>
      <w:r>
        <w:rPr>
          <w:i w:val="0"/>
          <w:color w:val="1A1A1A"/>
          <w:sz w:val="21"/>
        </w:rPr>
        <w:t xml:space="preserve"> The session that introduces NumPy first has participants write the standard-deviation formula out by hand. The session that introduces pandas first spends twenty-two lines parsing a file with the tools they already have. The library arrives as relief from work already done — never as a way to avoid understanding it.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the two courses cover together</w:t>
            </w:r>
          </w:p>
          <w:p>
            <w:pPr>
              <w:spacing w:after="20"/>
            </w:pPr>
            <w:r>
              <w:rPr>
                <w:b/>
                <w:i w:val="0"/>
                <w:color w:val="1A1A1A"/>
                <w:sz w:val="20"/>
              </w:rPr>
              <w:t>187 of the state curriculum's 193 pupil-hours</w:t>
            </w:r>
            <w:r>
              <w:rPr>
                <w:i w:val="0"/>
                <w:color w:val="1A1A1A"/>
                <w:sz w:val="20"/>
              </w:rPr>
              <w:t>, in sixty teacher-hours.</w:t>
            </w:r>
          </w:p>
          <w:p>
            <w:pPr>
              <w:spacing w:after="20"/>
            </w:pPr>
            <w:r>
              <w:rPr>
                <w:i w:val="0"/>
                <w:color w:val="1A1A1A"/>
                <w:sz w:val="20"/>
              </w:rPr>
              <w:t xml:space="preserve">The six that remain are </w:t>
            </w:r>
            <w:r>
              <w:rPr>
                <w:b/>
                <w:i w:val="0"/>
                <w:color w:val="1A1A1A"/>
                <w:sz w:val="20"/>
              </w:rPr>
              <w:t>topic 23, version control</w:t>
            </w:r>
            <w:r>
              <w:rPr>
                <w:i w:val="0"/>
                <w:color w:val="1A1A1A"/>
                <w:sz w:val="20"/>
              </w:rPr>
              <w:t>, deliberately deferred until the rest of the subject is secure.</w:t>
            </w:r>
          </w:p>
          <w:p>
            <w:pPr>
              <w:spacing w:after="20"/>
            </w:pPr>
            <w:r>
              <w:rPr>
                <w:i w:val="0"/>
                <w:color w:val="1A1A1A"/>
                <w:sz w:val="20"/>
              </w:rPr>
              <w:t>A teacher who completes both can deliver grade 10 and grade 11 in full, apart from that topic.</w:t>
            </w:r>
          </w:p>
        </w:tc>
      </w:tr>
    </w:tbl>
    <w:p>
      <w:pPr>
        <w:spacing w:after="80"/>
      </w:pPr>
    </w:p>
    <w:p>
      <w:pPr>
        <w:pStyle w:val="Heading2"/>
      </w:pPr>
      <w:r>
        <w:t>The grade-11 curriculum</w:t>
      </w:r>
    </w:p>
    <w:p>
      <w:pPr>
        <w:spacing w:after="140"/>
      </w:pPr>
      <w:r>
        <w:rPr>
          <w:i w:val="0"/>
          <w:color w:val="1A1A1A"/>
          <w:sz w:val="21"/>
        </w:rPr>
        <w:t xml:space="preserve">The same shape as the first course: </w:t>
      </w:r>
      <w:r>
        <w:rPr>
          <w:b/>
          <w:i w:val="0"/>
          <w:color w:val="1A1A1A"/>
          <w:sz w:val="21"/>
        </w:rPr>
        <w:t>24 topics across 18 sessions of 75 minutes</w:t>
      </w:r>
      <w:r>
        <w:rPr>
          <w:i w:val="0"/>
          <w:color w:val="1A1A1A"/>
          <w:sz w:val="21"/>
        </w:rPr>
        <w:t xml:space="preserve">. Seven of the eighteen are discovery sessions, marked </w:t>
      </w:r>
      <w:r>
        <w:rPr>
          <w:b/>
          <w:i w:val="0"/>
          <w:color w:val="1A1A1A"/>
          <w:sz w:val="21"/>
        </w:rPr>
        <w:t>D</w:t>
      </w:r>
      <w:r>
        <w:rPr>
          <w:i w:val="0"/>
          <w:color w:val="1A1A1A"/>
          <w:sz w:val="21"/>
        </w:rPr>
        <w:t xml:space="preserve"> — two more than the first course, because almost everything here is a tool that replaces work the participant has just done by hand.</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The school, and what we are going to build</w:t>
            </w:r>
          </w:p>
        </w:tc>
        <w:tc>
          <w:tcPr>
            <w:tcW w:type="dxa" w:w="4988"/>
          </w:tcPr>
          <w:p>
            <w:pPr>
              <w:spacing w:after="40" w:before="40"/>
            </w:pPr>
            <w:r/>
            <w:r>
              <w:rPr>
                <w:i w:val="0"/>
                <w:color w:val="1A1A1A"/>
                <w:sz w:val="17"/>
              </w:rPr>
              <w:t>The school's real file open, and its average computed with what they already knew</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Functions that bend</w:t>
            </w:r>
          </w:p>
        </w:tc>
        <w:tc>
          <w:tcPr>
            <w:tcW w:type="dxa" w:w="4988"/>
            <w:shd w:val="clear" w:fill="EEF2F7"/>
          </w:tcPr>
          <w:p>
            <w:pPr>
              <w:spacing w:after="40" w:before="40"/>
            </w:pPr>
            <w:r/>
            <w:r>
              <w:rPr>
                <w:i w:val="0"/>
                <w:color w:val="1A1A1A"/>
                <w:sz w:val="17"/>
              </w:rPr>
              <w:t>One report function called six ways, with defaults and named arguments</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Sending back more than one answer</w:t>
            </w:r>
          </w:p>
        </w:tc>
        <w:tc>
          <w:tcPr>
            <w:tcW w:type="dxa" w:w="4988"/>
          </w:tcPr>
          <w:p>
            <w:pPr>
              <w:spacing w:after="40" w:before="40"/>
            </w:pPr>
            <w:r/>
            <w:r>
              <w:rPr>
                <w:i w:val="0"/>
                <w:color w:val="1A1A1A"/>
                <w:sz w:val="17"/>
              </w:rPr>
              <w:t>One pass over the register returning three figures at once</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Six reports, six loops</w:t>
            </w:r>
          </w:p>
        </w:tc>
        <w:tc>
          <w:tcPr>
            <w:tcW w:type="dxa" w:w="4988"/>
            <w:shd w:val="clear" w:fill="EEF2F7"/>
          </w:tcPr>
          <w:p>
            <w:pPr>
              <w:spacing w:after="40" w:before="40"/>
            </w:pPr>
            <w:r/>
            <w:r>
              <w:rPr>
                <w:i w:val="0"/>
                <w:color w:val="1A1A1A"/>
                <w:sz w:val="17"/>
              </w:rPr>
              <w:t>Six lists the head teacher asked for, each on one line instead of four</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Choosing while you build</w:t>
            </w:r>
          </w:p>
        </w:tc>
        <w:tc>
          <w:tcPr>
            <w:tcW w:type="dxa" w:w="4988"/>
          </w:tcPr>
          <w:p>
            <w:pPr>
              <w:spacing w:after="40" w:before="40"/>
            </w:pPr>
            <w:r/>
            <w:r>
              <w:rPr>
                <w:i w:val="0"/>
                <w:color w:val="1A1A1A"/>
                <w:sz w:val="17"/>
              </w:rPr>
              <w:t>A register labelled pass/fail in one line, and sorted by a rule of their own</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student is more than a grade</w:t>
            </w:r>
          </w:p>
        </w:tc>
        <w:tc>
          <w:tcPr>
            <w:tcW w:type="dxa" w:w="4988"/>
            <w:shd w:val="clear" w:fill="EEF2F7"/>
          </w:tcPr>
          <w:p>
            <w:pPr>
              <w:spacing w:after="40" w:before="40"/>
            </w:pPr>
            <w:r/>
            <w:r>
              <w:rPr>
                <w:i w:val="0"/>
                <w:color w:val="1A1A1A"/>
                <w:sz w:val="17"/>
              </w:rPr>
              <w:t>A Student class, after a misspelled dictionary key failed silently thirty lines away</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The calculation moves inside</w:t>
            </w:r>
          </w:p>
        </w:tc>
        <w:tc>
          <w:tcPr>
            <w:tcW w:type="dxa" w:w="4988"/>
          </w:tcPr>
          <w:p>
            <w:pPr>
              <w:spacing w:after="40" w:before="40"/>
            </w:pPr>
            <w:r/>
            <w:r>
              <w:rPr>
                <w:rFonts w:ascii="Consolas" w:hAnsi="Consolas"/>
                <w:i w:val="0"/>
                <w:color w:val="1A1A1A"/>
                <w:sz w:val="17"/>
              </w:rPr>
              <w:t>student.average()</w:t>
            </w:r>
            <w:r>
              <w:rPr>
                <w:i w:val="0"/>
                <w:color w:val="1A1A1A"/>
                <w:sz w:val="17"/>
              </w:rPr>
              <w:t xml:space="preserve"> — the data and the thing that calculates it travelling together</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A class full of students</w:t>
            </w:r>
          </w:p>
        </w:tc>
        <w:tc>
          <w:tcPr>
            <w:tcW w:type="dxa" w:w="4988"/>
            <w:shd w:val="clear" w:fill="EEF2F7"/>
          </w:tcPr>
          <w:p>
            <w:pPr>
              <w:spacing w:after="40" w:before="40"/>
            </w:pPr>
            <w:r/>
            <w:r>
              <w:rPr>
                <w:i w:val="0"/>
                <w:color w:val="1A1A1A"/>
                <w:sz w:val="17"/>
              </w:rPr>
              <w:t>A SchoolClass holding Student objects, and a School holding classes</w:t>
            </w:r>
          </w:p>
        </w:tc>
      </w:tr>
      <w:tr>
        <w:tc>
          <w:tcPr>
            <w:tcW w:type="dxa" w:w="471"/>
          </w:tcPr>
          <w:p>
            <w:pPr>
              <w:spacing w:after="40" w:before="40"/>
            </w:pPr>
            <w:r/>
            <w:r>
              <w:rPr>
                <w:i w:val="0"/>
                <w:color w:val="1A1A1A"/>
                <w:sz w:val="17"/>
              </w:rPr>
              <w:t>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Teachers as well as students</w:t>
            </w:r>
          </w:p>
        </w:tc>
        <w:tc>
          <w:tcPr>
            <w:tcW w:type="dxa" w:w="4988"/>
          </w:tcPr>
          <w:p>
            <w:pPr>
              <w:spacing w:after="40" w:before="40"/>
            </w:pPr>
            <w:r/>
            <w:r>
              <w:rPr>
                <w:i w:val="0"/>
                <w:color w:val="1A1A1A"/>
                <w:sz w:val="17"/>
              </w:rPr>
              <w:t>Person, Student and Teacher — the shared part written once, after copying it twice</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One loop, many kinds</w:t>
            </w:r>
          </w:p>
        </w:tc>
        <w:tc>
          <w:tcPr>
            <w:tcW w:type="dxa" w:w="4988"/>
            <w:shd w:val="clear" w:fill="EEF2F7"/>
          </w:tcPr>
          <w:p>
            <w:pPr>
              <w:spacing w:after="40" w:before="40"/>
            </w:pPr>
            <w:r/>
            <w:r>
              <w:rPr>
                <w:i w:val="0"/>
                <w:color w:val="1A1A1A"/>
                <w:sz w:val="17"/>
              </w:rPr>
              <w:t xml:space="preserve">One loop printing the right line for every kind of person, with no </w:t>
            </w:r>
            <w:r>
              <w:rPr>
                <w:rFonts w:ascii="Consolas" w:hAnsi="Consolas"/>
                <w:i w:val="0"/>
                <w:color w:val="1A1A1A"/>
                <w:sz w:val="17"/>
              </w:rPr>
              <w:t>if</w:t>
            </w:r>
            <w:r>
              <w:rPr>
                <w:i w:val="0"/>
                <w:color w:val="1A1A1A"/>
                <w:sz w:val="17"/>
              </w:rPr>
              <w:t xml:space="preserve"> in it</w:t>
            </w:r>
          </w:p>
        </w:tc>
      </w:tr>
      <w:tr>
        <w:tc>
          <w:tcPr>
            <w:tcW w:type="dxa" w:w="471"/>
          </w:tcPr>
          <w:p>
            <w:pPr>
              <w:spacing w:after="40" w:before="40"/>
            </w:pPr>
            <w:r/>
            <w:r>
              <w:rPr>
                <w:i w:val="0"/>
                <w:color w:val="1A1A1A"/>
                <w:sz w:val="17"/>
              </w:rPr>
              <w:t>11</w:t>
            </w:r>
          </w:p>
        </w:tc>
        <w:tc>
          <w:tcPr>
            <w:tcW w:type="dxa" w:w="471"/>
          </w:tcPr>
          <w:p>
            <w:pPr>
              <w:spacing w:after="40" w:before="40"/>
            </w:pPr>
            <w:r/>
          </w:p>
        </w:tc>
        <w:tc>
          <w:tcPr>
            <w:tcW w:type="dxa" w:w="3482"/>
          </w:tcPr>
          <w:p>
            <w:pPr>
              <w:spacing w:after="40" w:before="40"/>
            </w:pPr>
            <w:r/>
            <w:r>
              <w:rPr>
                <w:i w:val="0"/>
                <w:color w:val="1A1A1A"/>
                <w:sz w:val="17"/>
              </w:rPr>
              <w:t xml:space="preserve">The register, rewritten  </w:t>
            </w:r>
            <w:r>
              <w:rPr>
                <w:i/>
                <w:color w:val="1A1A1A"/>
                <w:sz w:val="17"/>
              </w:rPr>
              <w:t>(no new syntax)</w:t>
            </w:r>
          </w:p>
        </w:tc>
        <w:tc>
          <w:tcPr>
            <w:tcW w:type="dxa" w:w="4988"/>
          </w:tcPr>
          <w:p>
            <w:pPr>
              <w:spacing w:after="40" w:before="40"/>
            </w:pPr>
            <w:r/>
            <w:r>
              <w:rPr>
                <w:i w:val="0"/>
                <w:color w:val="1A1A1A"/>
                <w:sz w:val="17"/>
              </w:rPr>
              <w:t>The first course's gradebook rebuilt with objects, side by side with the old one</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term's statistics</w:t>
            </w:r>
          </w:p>
        </w:tc>
        <w:tc>
          <w:tcPr>
            <w:tcW w:type="dxa" w:w="4988"/>
            <w:shd w:val="clear" w:fill="EEF2F7"/>
          </w:tcPr>
          <w:p>
            <w:pPr>
              <w:spacing w:after="40" w:before="40"/>
            </w:pPr>
            <w:r/>
            <w:r>
              <w:rPr>
                <w:i w:val="0"/>
                <w:color w:val="1A1A1A"/>
                <w:sz w:val="17"/>
              </w:rPr>
              <w:t>Mean, spread and extremes in four lines, after writing the spread formula out by hand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Whole arrays at once</w:t>
            </w:r>
          </w:p>
        </w:tc>
        <w:tc>
          <w:tcPr>
            <w:tcW w:type="dxa" w:w="4988"/>
          </w:tcPr>
          <w:p>
            <w:pPr>
              <w:spacing w:after="40" w:before="40"/>
            </w:pPr>
            <w:r/>
            <w:r>
              <w:rPr>
                <w:i w:val="0"/>
                <w:color w:val="1A1A1A"/>
                <w:sz w:val="17"/>
              </w:rPr>
              <w:t>Every grade changed at once, and failing marks selected without a loop</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Show the head teacher</w:t>
            </w:r>
          </w:p>
        </w:tc>
        <w:tc>
          <w:tcPr>
            <w:tcW w:type="dxa" w:w="4988"/>
            <w:shd w:val="clear" w:fill="EEF2F7"/>
          </w:tcPr>
          <w:p>
            <w:pPr>
              <w:spacing w:after="40" w:before="40"/>
            </w:pPr>
            <w:r/>
            <w:r>
              <w:rPr>
                <w:i w:val="0"/>
                <w:color w:val="1A1A1A"/>
                <w:sz w:val="17"/>
              </w:rPr>
              <w:t>A real chart saved as a file, after drawing one with asterisks</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The four charts a school asks for</w:t>
            </w:r>
          </w:p>
        </w:tc>
        <w:tc>
          <w:tcPr>
            <w:tcW w:type="dxa" w:w="4988"/>
          </w:tcPr>
          <w:p>
            <w:pPr>
              <w:spacing w:after="40" w:before="40"/>
            </w:pPr>
            <w:r/>
            <w:r>
              <w:rPr>
                <w:i w:val="0"/>
                <w:color w:val="1A1A1A"/>
                <w:sz w:val="17"/>
              </w:rPr>
              <w:t>Bar, histogram, line and grouped bar — and which question each answers</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school's own file</w:t>
            </w:r>
          </w:p>
        </w:tc>
        <w:tc>
          <w:tcPr>
            <w:tcW w:type="dxa" w:w="4988"/>
            <w:shd w:val="clear" w:fill="EEF2F7"/>
          </w:tcPr>
          <w:p>
            <w:pPr>
              <w:spacing w:after="40" w:before="40"/>
            </w:pPr>
            <w:r/>
            <w:r>
              <w:rPr>
                <w:i w:val="0"/>
                <w:color w:val="1A1A1A"/>
                <w:sz w:val="17"/>
              </w:rPr>
              <w:t>The file read correctly in one line, after twenty-two lines got it wrong</w:t>
            </w:r>
          </w:p>
        </w:tc>
      </w:tr>
      <w:tr>
        <w:tc>
          <w:tcPr>
            <w:tcW w:type="dxa" w:w="471"/>
          </w:tcPr>
          <w:p>
            <w:pPr>
              <w:spacing w:after="40" w:before="40"/>
            </w:pPr>
            <w:r/>
            <w:r>
              <w:rPr>
                <w:i w:val="0"/>
                <w:color w:val="1A1A1A"/>
                <w:sz w:val="17"/>
              </w:rPr>
              <w:t>17</w:t>
            </w:r>
          </w:p>
        </w:tc>
        <w:tc>
          <w:tcPr>
            <w:tcW w:type="dxa" w:w="471"/>
          </w:tcPr>
          <w:p>
            <w:pPr>
              <w:spacing w:after="40" w:before="40"/>
            </w:pPr>
            <w:r/>
          </w:p>
        </w:tc>
        <w:tc>
          <w:tcPr>
            <w:tcW w:type="dxa" w:w="3482"/>
          </w:tcPr>
          <w:p>
            <w:pPr>
              <w:spacing w:after="40" w:before="40"/>
            </w:pPr>
            <w:r/>
            <w:r>
              <w:rPr>
                <w:i w:val="0"/>
                <w:color w:val="1A1A1A"/>
                <w:sz w:val="17"/>
              </w:rPr>
              <w:t>Filter, group, describe</w:t>
            </w:r>
          </w:p>
        </w:tc>
        <w:tc>
          <w:tcPr>
            <w:tcW w:type="dxa" w:w="4988"/>
          </w:tcPr>
          <w:p>
            <w:pPr>
              <w:spacing w:after="40" w:before="40"/>
            </w:pPr>
            <w:r/>
            <w:r>
              <w:rPr>
                <w:i w:val="0"/>
                <w:color w:val="1A1A1A"/>
                <w:sz w:val="17"/>
              </w:rPr>
              <w:t>Averages per class and per subject, without naming the classes in the code</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The term report</w:t>
            </w:r>
          </w:p>
        </w:tc>
        <w:tc>
          <w:tcPr>
            <w:tcW w:type="dxa" w:w="4988"/>
            <w:shd w:val="clear" w:fill="EEF2F7"/>
          </w:tcPr>
          <w:p>
            <w:pPr>
              <w:spacing w:after="40" w:before="40"/>
            </w:pPr>
            <w:r/>
            <w:r>
              <w:rPr>
                <w:i w:val="0"/>
                <w:color w:val="1A1A1A"/>
                <w:sz w:val="17"/>
              </w:rPr>
              <w:t>File in, statistics and two charts out — all three libraries in one workflow</w:t>
            </w:r>
          </w:p>
        </w:tc>
      </w:tr>
      <w:tr>
        <w:tc>
          <w:tcPr>
            <w:tcW w:type="dxa" w:w="471"/>
          </w:tcPr>
          <w:p>
            <w:pPr>
              <w:spacing w:after="40" w:before="40"/>
            </w:pPr>
            <w:r/>
            <w:r>
              <w:rPr>
                <w:i w:val="0"/>
                <w:color w:val="1A1A1A"/>
                <w:sz w:val="17"/>
              </w:rPr>
              <w:t>19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How deep does it go?</w:t>
            </w:r>
          </w:p>
        </w:tc>
        <w:tc>
          <w:tcPr>
            <w:tcW w:type="dxa" w:w="4988"/>
          </w:tcPr>
          <w:p>
            <w:pPr>
              <w:spacing w:after="40" w:before="40"/>
            </w:pPr>
            <w:r/>
            <w:r>
              <w:rPr>
                <w:i w:val="0"/>
                <w:color w:val="1A1A1A"/>
                <w:sz w:val="17"/>
              </w:rPr>
              <w:t>One recursive function that works at any depth, after loops ran out of levels</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Where code comes from</w:t>
            </w:r>
          </w:p>
        </w:tc>
        <w:tc>
          <w:tcPr>
            <w:tcW w:type="dxa" w:w="4988"/>
            <w:shd w:val="clear" w:fill="EEF2F7"/>
          </w:tcPr>
          <w:p>
            <w:pPr>
              <w:spacing w:after="40" w:before="40"/>
            </w:pPr>
            <w:r/>
            <w:r>
              <w:rPr>
                <w:rFonts w:ascii="Consolas" w:hAnsi="Consolas"/>
                <w:i w:val="0"/>
                <w:color w:val="1A1A1A"/>
                <w:sz w:val="17"/>
              </w:rPr>
              <w:t>pip</w:t>
            </w:r>
            <w:r>
              <w:rPr>
                <w:i w:val="0"/>
                <w:color w:val="1A1A1A"/>
                <w:sz w:val="17"/>
              </w:rPr>
              <w:t xml:space="preserve">, </w:t>
            </w:r>
            <w:r>
              <w:rPr>
                <w:rFonts w:ascii="Consolas" w:hAnsi="Consolas"/>
                <w:i w:val="0"/>
                <w:color w:val="1A1A1A"/>
                <w:sz w:val="17"/>
              </w:rPr>
              <w:t>requirements.txt</w:t>
            </w:r>
            <w:r>
              <w:rPr>
                <w:i w:val="0"/>
                <w:color w:val="1A1A1A"/>
                <w:sz w:val="17"/>
              </w:rPr>
              <w:t>, environments and Colab — the only session needing internet</w:t>
            </w:r>
          </w:p>
        </w:tc>
      </w:tr>
      <w:tr>
        <w:tc>
          <w:tcPr>
            <w:tcW w:type="dxa" w:w="471"/>
          </w:tcPr>
          <w:p>
            <w:pPr>
              <w:spacing w:after="40" w:before="40"/>
            </w:pPr>
            <w:r/>
            <w:r>
              <w:rPr>
                <w:i w:val="0"/>
                <w:color w:val="1A1A1A"/>
                <w:sz w:val="17"/>
              </w:rPr>
              <w:t>21</w:t>
            </w:r>
          </w:p>
        </w:tc>
        <w:tc>
          <w:tcPr>
            <w:tcW w:type="dxa" w:w="471"/>
          </w:tcPr>
          <w:p>
            <w:pPr>
              <w:spacing w:after="40" w:before="40"/>
            </w:pPr>
            <w:r/>
          </w:p>
        </w:tc>
        <w:tc>
          <w:tcPr>
            <w:tcW w:type="dxa" w:w="3482"/>
          </w:tcPr>
          <w:p>
            <w:pPr>
              <w:spacing w:after="40" w:before="40"/>
            </w:pPr>
            <w:r/>
            <w:r>
              <w:rPr>
                <w:i w:val="0"/>
                <w:color w:val="1A1A1A"/>
                <w:sz w:val="17"/>
              </w:rPr>
              <w:t>Wrong, with no error</w:t>
            </w:r>
          </w:p>
        </w:tc>
        <w:tc>
          <w:tcPr>
            <w:tcW w:type="dxa" w:w="4988"/>
          </w:tcPr>
          <w:p>
            <w:pPr>
              <w:spacing w:after="40" w:before="40"/>
            </w:pPr>
            <w:r/>
            <w:r>
              <w:rPr>
                <w:i w:val="0"/>
                <w:color w:val="1A1A1A"/>
                <w:sz w:val="17"/>
              </w:rPr>
              <w:t>A silent wrong answer found with a debugger, not by rereading</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Five files that each do one thing</w:t>
            </w:r>
          </w:p>
        </w:tc>
        <w:tc>
          <w:tcPr>
            <w:tcW w:type="dxa" w:w="4988"/>
            <w:shd w:val="clear" w:fill="EEF2F7"/>
          </w:tcPr>
          <w:p>
            <w:pPr>
              <w:spacing w:after="40" w:before="40"/>
            </w:pPr>
            <w:r/>
            <w:r>
              <w:rPr>
                <w:b/>
                <w:i w:val="0"/>
                <w:color w:val="1A1A1A"/>
                <w:sz w:val="17"/>
              </w:rPr>
              <w:t>A working `python main.py`</w:t>
            </w:r>
            <w:r>
              <w:rPr>
                <w:i w:val="0"/>
                <w:color w:val="1A1A1A"/>
                <w:sz w:val="17"/>
              </w:rPr>
              <w:t>, confirmed individually</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Their own school's data in, and one feature of their own design</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pStyle w:val="Heading2"/>
      </w:pPr>
      <w:r>
        <w:t>The grade-11 schedule</w:t>
      </w:r>
    </w:p>
    <w:p>
      <w:pPr>
        <w:spacing w:after="140"/>
      </w:pPr>
      <w:r>
        <w:rPr>
          <w:i w:val="0"/>
          <w:color w:val="1A1A1A"/>
          <w:sz w:val="21"/>
        </w:rPr>
        <w:t>Identical in shape to the first course — two sessions a week for nine weeks, eighteen sessions of 75 minutes, 22½ hours in total, with homework between sessions drawn from tasks the notebooks already carry.</w:t>
      </w: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8"/>
              </w:rPr>
              <w:t>Week</w:t>
            </w:r>
          </w:p>
        </w:tc>
        <w:tc>
          <w:tcPr>
            <w:tcW w:type="dxa" w:w="1129"/>
            <w:shd w:val="clear" w:fill="1F3A5F"/>
          </w:tcPr>
          <w:p>
            <w:pPr>
              <w:spacing w:after="40" w:before="40"/>
            </w:pPr>
            <w:r/>
            <w:r>
              <w:rPr>
                <w:b/>
                <w:color w:val="FFFFFF"/>
                <w:sz w:val="18"/>
              </w:rPr>
              <w:t>Sessions</w:t>
            </w:r>
          </w:p>
        </w:tc>
        <w:tc>
          <w:tcPr>
            <w:tcW w:type="dxa" w:w="1035"/>
            <w:shd w:val="clear" w:fill="1F3A5F"/>
          </w:tcPr>
          <w:p>
            <w:pPr>
              <w:spacing w:after="40" w:before="40"/>
            </w:pPr>
            <w:r/>
            <w:r>
              <w:rPr>
                <w:b/>
                <w:color w:val="FFFFFF"/>
                <w:sz w:val="18"/>
              </w:rPr>
              <w:t>Topics</w:t>
            </w:r>
          </w:p>
        </w:tc>
        <w:tc>
          <w:tcPr>
            <w:tcW w:type="dxa" w:w="4611"/>
            <w:shd w:val="clear" w:fill="1F3A5F"/>
          </w:tcPr>
          <w:p>
            <w:pPr>
              <w:spacing w:after="40" w:before="40"/>
            </w:pPr>
            <w:r/>
            <w:r>
              <w:rPr>
                <w:b/>
                <w:color w:val="FFFFFF"/>
                <w:sz w:val="18"/>
              </w:rPr>
              <w:t>What the participant can do by the end of it</w:t>
            </w:r>
          </w:p>
        </w:tc>
        <w:tc>
          <w:tcPr>
            <w:tcW w:type="dxa" w:w="1882"/>
            <w:shd w:val="clear" w:fill="1F3A5F"/>
          </w:tcPr>
          <w:p>
            <w:pPr>
              <w:spacing w:after="40" w:before="40"/>
            </w:pPr>
            <w:r/>
            <w:r>
              <w:rPr>
                <w:b/>
                <w:color w:val="FFFFFF"/>
                <w:sz w:val="18"/>
              </w:rPr>
              <w:t>Assessment</w:t>
            </w:r>
          </w:p>
        </w:tc>
      </w:tr>
      <w:tr>
        <w:tc>
          <w:tcPr>
            <w:tcW w:type="dxa" w:w="753"/>
          </w:tcPr>
          <w:p>
            <w:pPr>
              <w:spacing w:after="40" w:before="40"/>
            </w:pPr>
            <w:r/>
            <w:r>
              <w:rPr>
                <w:i w:val="0"/>
                <w:color w:val="1A1A1A"/>
                <w:sz w:val="18"/>
              </w:rPr>
              <w:t>1</w:t>
            </w:r>
          </w:p>
        </w:tc>
        <w:tc>
          <w:tcPr>
            <w:tcW w:type="dxa" w:w="1129"/>
          </w:tcPr>
          <w:p>
            <w:pPr>
              <w:spacing w:after="40" w:before="40"/>
            </w:pPr>
            <w:r/>
            <w:r>
              <w:rPr>
                <w:i w:val="0"/>
                <w:color w:val="1A1A1A"/>
                <w:sz w:val="18"/>
              </w:rPr>
              <w:t>1–2</w:t>
            </w:r>
          </w:p>
        </w:tc>
        <w:tc>
          <w:tcPr>
            <w:tcW w:type="dxa" w:w="1035"/>
          </w:tcPr>
          <w:p>
            <w:pPr>
              <w:spacing w:after="40" w:before="40"/>
            </w:pPr>
            <w:r/>
            <w:r>
              <w:rPr>
                <w:i w:val="0"/>
                <w:color w:val="1A1A1A"/>
                <w:sz w:val="18"/>
              </w:rPr>
              <w:t>1–3</w:t>
            </w:r>
          </w:p>
        </w:tc>
        <w:tc>
          <w:tcPr>
            <w:tcW w:type="dxa" w:w="4611"/>
          </w:tcPr>
          <w:p>
            <w:pPr>
              <w:spacing w:after="40" w:before="40"/>
            </w:pPr>
            <w:r/>
            <w:r>
              <w:rPr>
                <w:i w:val="0"/>
                <w:color w:val="1A1A1A"/>
                <w:sz w:val="18"/>
              </w:rPr>
              <w:t>My functions bend to what is asked of them</w:t>
            </w:r>
          </w:p>
        </w:tc>
        <w:tc>
          <w:tcPr>
            <w:tcW w:type="dxa" w:w="1882"/>
          </w:tcPr>
          <w:p>
            <w:pPr>
              <w:spacing w:after="40" w:before="40"/>
            </w:pPr>
            <w:r/>
            <w:r>
              <w:rPr>
                <w:i/>
                <w:color w:val="1A1A1A"/>
                <w:sz w:val="18"/>
              </w:rPr>
              <w:t>diagnostic sat before session 1</w:t>
            </w:r>
          </w:p>
        </w:tc>
      </w:tr>
      <w:tr>
        <w:tc>
          <w:tcPr>
            <w:tcW w:type="dxa" w:w="753"/>
            <w:shd w:val="clear" w:fill="EEF2F7"/>
          </w:tcPr>
          <w:p>
            <w:pPr>
              <w:spacing w:after="40" w:before="40"/>
            </w:pPr>
            <w:r/>
            <w:r>
              <w:rPr>
                <w:i w:val="0"/>
                <w:color w:val="1A1A1A"/>
                <w:sz w:val="18"/>
              </w:rPr>
              <w:t>2</w:t>
            </w:r>
          </w:p>
        </w:tc>
        <w:tc>
          <w:tcPr>
            <w:tcW w:type="dxa" w:w="1129"/>
            <w:shd w:val="clear" w:fill="EEF2F7"/>
          </w:tcPr>
          <w:p>
            <w:pPr>
              <w:spacing w:after="40" w:before="40"/>
            </w:pPr>
            <w:r/>
            <w:r>
              <w:rPr>
                <w:i w:val="0"/>
                <w:color w:val="1A1A1A"/>
                <w:sz w:val="18"/>
              </w:rPr>
              <w:t>3–4</w:t>
            </w:r>
          </w:p>
        </w:tc>
        <w:tc>
          <w:tcPr>
            <w:tcW w:type="dxa" w:w="1035"/>
            <w:shd w:val="clear" w:fill="EEF2F7"/>
          </w:tcPr>
          <w:p>
            <w:pPr>
              <w:spacing w:after="40" w:before="40"/>
            </w:pPr>
            <w:r/>
            <w:r>
              <w:rPr>
                <w:i w:val="0"/>
                <w:color w:val="1A1A1A"/>
                <w:sz w:val="18"/>
              </w:rPr>
              <w:t>4–5</w:t>
            </w:r>
          </w:p>
        </w:tc>
        <w:tc>
          <w:tcPr>
            <w:tcW w:type="dxa" w:w="4611"/>
            <w:shd w:val="clear" w:fill="EEF2F7"/>
          </w:tcPr>
          <w:p>
            <w:pPr>
              <w:spacing w:after="40" w:before="40"/>
            </w:pPr>
            <w:r/>
            <w:r>
              <w:rPr>
                <w:i w:val="0"/>
                <w:color w:val="1A1A1A"/>
                <w:sz w:val="18"/>
              </w:rPr>
              <w:t>One line instead of six</w:t>
            </w:r>
          </w:p>
        </w:tc>
        <w:tc>
          <w:tcPr>
            <w:tcW w:type="dxa" w:w="1882"/>
            <w:shd w:val="clear" w:fill="EEF2F7"/>
          </w:tcPr>
          <w:p>
            <w:pPr>
              <w:spacing w:after="40" w:before="40"/>
            </w:pPr>
            <w:r/>
          </w:p>
        </w:tc>
      </w:tr>
      <w:tr>
        <w:tc>
          <w:tcPr>
            <w:tcW w:type="dxa" w:w="753"/>
          </w:tcPr>
          <w:p>
            <w:pPr>
              <w:spacing w:after="40" w:before="40"/>
            </w:pPr>
            <w:r/>
            <w:r>
              <w:rPr>
                <w:i w:val="0"/>
                <w:color w:val="1A1A1A"/>
                <w:sz w:val="18"/>
              </w:rPr>
              <w:t>3</w:t>
            </w:r>
          </w:p>
        </w:tc>
        <w:tc>
          <w:tcPr>
            <w:tcW w:type="dxa" w:w="1129"/>
          </w:tcPr>
          <w:p>
            <w:pPr>
              <w:spacing w:after="40" w:before="40"/>
            </w:pPr>
            <w:r/>
            <w:r>
              <w:rPr>
                <w:i w:val="0"/>
                <w:color w:val="1A1A1A"/>
                <w:sz w:val="18"/>
              </w:rPr>
              <w:t>5–6</w:t>
            </w:r>
          </w:p>
        </w:tc>
        <w:tc>
          <w:tcPr>
            <w:tcW w:type="dxa" w:w="1035"/>
          </w:tcPr>
          <w:p>
            <w:pPr>
              <w:spacing w:after="40" w:before="40"/>
            </w:pPr>
            <w:r/>
            <w:r>
              <w:rPr>
                <w:i w:val="0"/>
                <w:color w:val="1A1A1A"/>
                <w:sz w:val="18"/>
              </w:rPr>
              <w:t>6–8</w:t>
            </w:r>
          </w:p>
        </w:tc>
        <w:tc>
          <w:tcPr>
            <w:tcW w:type="dxa" w:w="4611"/>
          </w:tcPr>
          <w:p>
            <w:pPr>
              <w:spacing w:after="40" w:before="40"/>
            </w:pPr>
            <w:r/>
            <w:r>
              <w:rPr>
                <w:i w:val="0"/>
                <w:color w:val="1A1A1A"/>
                <w:sz w:val="18"/>
              </w:rPr>
              <w:t>A student is a thing, and the school is objects</w:t>
            </w:r>
          </w:p>
        </w:tc>
        <w:tc>
          <w:tcPr>
            <w:tcW w:type="dxa" w:w="1882"/>
          </w:tcPr>
          <w:p>
            <w:pPr>
              <w:spacing w:after="40" w:before="40"/>
            </w:pPr>
            <w:r/>
          </w:p>
        </w:tc>
      </w:tr>
      <w:tr>
        <w:tc>
          <w:tcPr>
            <w:tcW w:type="dxa" w:w="753"/>
            <w:shd w:val="clear" w:fill="EEF2F7"/>
          </w:tcPr>
          <w:p>
            <w:pPr>
              <w:spacing w:after="40" w:before="40"/>
            </w:pPr>
            <w:r/>
            <w:r>
              <w:rPr>
                <w:i w:val="0"/>
                <w:color w:val="1A1A1A"/>
                <w:sz w:val="18"/>
              </w:rPr>
              <w:t>4</w:t>
            </w:r>
          </w:p>
        </w:tc>
        <w:tc>
          <w:tcPr>
            <w:tcW w:type="dxa" w:w="1129"/>
            <w:shd w:val="clear" w:fill="EEF2F7"/>
          </w:tcPr>
          <w:p>
            <w:pPr>
              <w:spacing w:after="40" w:before="40"/>
            </w:pPr>
            <w:r/>
            <w:r>
              <w:rPr>
                <w:i w:val="0"/>
                <w:color w:val="1A1A1A"/>
                <w:sz w:val="18"/>
              </w:rPr>
              <w:t>7–8</w:t>
            </w:r>
          </w:p>
        </w:tc>
        <w:tc>
          <w:tcPr>
            <w:tcW w:type="dxa" w:w="1035"/>
            <w:shd w:val="clear" w:fill="EEF2F7"/>
          </w:tcPr>
          <w:p>
            <w:pPr>
              <w:spacing w:after="40" w:before="40"/>
            </w:pPr>
            <w:r/>
            <w:r>
              <w:rPr>
                <w:i w:val="0"/>
                <w:color w:val="1A1A1A"/>
                <w:sz w:val="18"/>
              </w:rPr>
              <w:t>9–11</w:t>
            </w:r>
          </w:p>
        </w:tc>
        <w:tc>
          <w:tcPr>
            <w:tcW w:type="dxa" w:w="4611"/>
            <w:shd w:val="clear" w:fill="EEF2F7"/>
          </w:tcPr>
          <w:p>
            <w:pPr>
              <w:spacing w:after="40" w:before="40"/>
            </w:pPr>
            <w:r/>
            <w:r>
              <w:rPr>
                <w:i w:val="0"/>
                <w:color w:val="1A1A1A"/>
                <w:sz w:val="18"/>
              </w:rPr>
              <w:t>They share what they have in common</w:t>
            </w:r>
          </w:p>
        </w:tc>
        <w:tc>
          <w:tcPr>
            <w:tcW w:type="dxa" w:w="1882"/>
            <w:shd w:val="clear" w:fill="EEF2F7"/>
          </w:tcPr>
          <w:p>
            <w:pPr>
              <w:spacing w:after="40" w:before="40"/>
            </w:pPr>
            <w:r/>
            <w:r>
              <w:rPr>
                <w:b/>
                <w:i w:val="0"/>
                <w:color w:val="1A1A1A"/>
                <w:sz w:val="18"/>
              </w:rPr>
              <w:t>Midpoint</w:t>
            </w:r>
          </w:p>
        </w:tc>
      </w:tr>
      <w:tr>
        <w:tc>
          <w:tcPr>
            <w:tcW w:type="dxa" w:w="753"/>
          </w:tcPr>
          <w:p>
            <w:pPr>
              <w:spacing w:after="40" w:before="40"/>
            </w:pPr>
            <w:r/>
            <w:r>
              <w:rPr>
                <w:i w:val="0"/>
                <w:color w:val="1A1A1A"/>
                <w:sz w:val="18"/>
              </w:rPr>
              <w:t>5</w:t>
            </w:r>
          </w:p>
        </w:tc>
        <w:tc>
          <w:tcPr>
            <w:tcW w:type="dxa" w:w="1129"/>
          </w:tcPr>
          <w:p>
            <w:pPr>
              <w:spacing w:after="40" w:before="40"/>
            </w:pPr>
            <w:r/>
            <w:r>
              <w:rPr>
                <w:i w:val="0"/>
                <w:color w:val="1A1A1A"/>
                <w:sz w:val="18"/>
              </w:rPr>
              <w:t>9–10</w:t>
            </w:r>
          </w:p>
        </w:tc>
        <w:tc>
          <w:tcPr>
            <w:tcW w:type="dxa" w:w="1035"/>
          </w:tcPr>
          <w:p>
            <w:pPr>
              <w:spacing w:after="40" w:before="40"/>
            </w:pPr>
            <w:r/>
            <w:r>
              <w:rPr>
                <w:i w:val="0"/>
                <w:color w:val="1A1A1A"/>
                <w:sz w:val="18"/>
              </w:rPr>
              <w:t>12–15</w:t>
            </w:r>
          </w:p>
        </w:tc>
        <w:tc>
          <w:tcPr>
            <w:tcW w:type="dxa" w:w="4611"/>
          </w:tcPr>
          <w:p>
            <w:pPr>
              <w:spacing w:after="40" w:before="40"/>
            </w:pPr>
            <w:r/>
            <w:r>
              <w:rPr>
                <w:i w:val="0"/>
                <w:color w:val="1A1A1A"/>
                <w:sz w:val="18"/>
              </w:rPr>
              <w:t>I can measure a term and draw it</w:t>
            </w:r>
          </w:p>
        </w:tc>
        <w:tc>
          <w:tcPr>
            <w:tcW w:type="dxa" w:w="1882"/>
          </w:tcPr>
          <w:p>
            <w:pPr>
              <w:spacing w:after="40" w:before="40"/>
            </w:pPr>
            <w:r/>
          </w:p>
        </w:tc>
      </w:tr>
      <w:tr>
        <w:tc>
          <w:tcPr>
            <w:tcW w:type="dxa" w:w="753"/>
            <w:shd w:val="clear" w:fill="EEF2F7"/>
          </w:tcPr>
          <w:p>
            <w:pPr>
              <w:spacing w:after="40" w:before="40"/>
            </w:pPr>
            <w:r/>
            <w:r>
              <w:rPr>
                <w:i w:val="0"/>
                <w:color w:val="1A1A1A"/>
                <w:sz w:val="18"/>
              </w:rPr>
              <w:t>6</w:t>
            </w:r>
          </w:p>
        </w:tc>
        <w:tc>
          <w:tcPr>
            <w:tcW w:type="dxa" w:w="1129"/>
            <w:shd w:val="clear" w:fill="EEF2F7"/>
          </w:tcPr>
          <w:p>
            <w:pPr>
              <w:spacing w:after="40" w:before="40"/>
            </w:pPr>
            <w:r/>
            <w:r>
              <w:rPr>
                <w:i w:val="0"/>
                <w:color w:val="1A1A1A"/>
                <w:sz w:val="18"/>
              </w:rPr>
              <w:t>11–12</w:t>
            </w:r>
          </w:p>
        </w:tc>
        <w:tc>
          <w:tcPr>
            <w:tcW w:type="dxa" w:w="1035"/>
            <w:shd w:val="clear" w:fill="EEF2F7"/>
          </w:tcPr>
          <w:p>
            <w:pPr>
              <w:spacing w:after="40" w:before="40"/>
            </w:pPr>
            <w:r/>
            <w:r>
              <w:rPr>
                <w:i w:val="0"/>
                <w:color w:val="1A1A1A"/>
                <w:sz w:val="18"/>
              </w:rPr>
              <w:t>16–18</w:t>
            </w:r>
          </w:p>
        </w:tc>
        <w:tc>
          <w:tcPr>
            <w:tcW w:type="dxa" w:w="4611"/>
            <w:shd w:val="clear" w:fill="EEF2F7"/>
          </w:tcPr>
          <w:p>
            <w:pPr>
              <w:spacing w:after="40" w:before="40"/>
            </w:pPr>
            <w:r/>
            <w:r>
              <w:rPr>
                <w:i w:val="0"/>
                <w:color w:val="1A1A1A"/>
                <w:sz w:val="18"/>
              </w:rPr>
              <w:t>The school's own file goes in, a report comes out</w:t>
            </w:r>
          </w:p>
        </w:tc>
        <w:tc>
          <w:tcPr>
            <w:tcW w:type="dxa" w:w="1882"/>
            <w:shd w:val="clear" w:fill="EEF2F7"/>
          </w:tcPr>
          <w:p>
            <w:pPr>
              <w:spacing w:after="40" w:before="40"/>
            </w:pPr>
            <w:r/>
          </w:p>
        </w:tc>
      </w:tr>
      <w:tr>
        <w:tc>
          <w:tcPr>
            <w:tcW w:type="dxa" w:w="753"/>
          </w:tcPr>
          <w:p>
            <w:pPr>
              <w:spacing w:after="40" w:before="40"/>
            </w:pPr>
            <w:r/>
            <w:r>
              <w:rPr>
                <w:i w:val="0"/>
                <w:color w:val="1A1A1A"/>
                <w:sz w:val="18"/>
              </w:rPr>
              <w:t>7</w:t>
            </w:r>
          </w:p>
        </w:tc>
        <w:tc>
          <w:tcPr>
            <w:tcW w:type="dxa" w:w="1129"/>
          </w:tcPr>
          <w:p>
            <w:pPr>
              <w:spacing w:after="40" w:before="40"/>
            </w:pPr>
            <w:r/>
            <w:r>
              <w:rPr>
                <w:i w:val="0"/>
                <w:color w:val="1A1A1A"/>
                <w:sz w:val="18"/>
              </w:rPr>
              <w:t>13–14</w:t>
            </w:r>
          </w:p>
        </w:tc>
        <w:tc>
          <w:tcPr>
            <w:tcW w:type="dxa" w:w="1035"/>
          </w:tcPr>
          <w:p>
            <w:pPr>
              <w:spacing w:after="40" w:before="40"/>
            </w:pPr>
            <w:r/>
            <w:r>
              <w:rPr>
                <w:i w:val="0"/>
                <w:color w:val="1A1A1A"/>
                <w:sz w:val="18"/>
              </w:rPr>
              <w:t>19–21</w:t>
            </w:r>
          </w:p>
        </w:tc>
        <w:tc>
          <w:tcPr>
            <w:tcW w:type="dxa" w:w="4611"/>
          </w:tcPr>
          <w:p>
            <w:pPr>
              <w:spacing w:after="40" w:before="40"/>
            </w:pPr>
            <w:r/>
            <w:r>
              <w:rPr>
                <w:i w:val="0"/>
                <w:color w:val="1A1A1A"/>
                <w:sz w:val="18"/>
              </w:rPr>
              <w:t>Any depth, and I can find out why it is wrong</w:t>
            </w:r>
          </w:p>
        </w:tc>
        <w:tc>
          <w:tcPr>
            <w:tcW w:type="dxa" w:w="1882"/>
          </w:tcPr>
          <w:p>
            <w:pPr>
              <w:spacing w:after="40" w:before="40"/>
            </w:pPr>
            <w:r/>
          </w:p>
        </w:tc>
      </w:tr>
      <w:tr>
        <w:tc>
          <w:tcPr>
            <w:tcW w:type="dxa" w:w="753"/>
            <w:shd w:val="clear" w:fill="EEF2F7"/>
          </w:tcPr>
          <w:p>
            <w:pPr>
              <w:spacing w:after="40" w:before="40"/>
            </w:pPr>
            <w:r/>
            <w:r>
              <w:rPr>
                <w:i w:val="0"/>
                <w:color w:val="1A1A1A"/>
                <w:sz w:val="18"/>
              </w:rPr>
              <w:t>8</w:t>
            </w:r>
          </w:p>
        </w:tc>
        <w:tc>
          <w:tcPr>
            <w:tcW w:type="dxa" w:w="1129"/>
            <w:shd w:val="clear" w:fill="EEF2F7"/>
          </w:tcPr>
          <w:p>
            <w:pPr>
              <w:spacing w:after="40" w:before="40"/>
            </w:pPr>
            <w:r/>
            <w:r>
              <w:rPr>
                <w:i w:val="0"/>
                <w:color w:val="1A1A1A"/>
                <w:sz w:val="18"/>
              </w:rPr>
              <w:t>15–16</w:t>
            </w:r>
          </w:p>
        </w:tc>
        <w:tc>
          <w:tcPr>
            <w:tcW w:type="dxa" w:w="1035"/>
            <w:shd w:val="clear" w:fill="EEF2F7"/>
          </w:tcPr>
          <w:p>
            <w:pPr>
              <w:spacing w:after="40" w:before="40"/>
            </w:pPr>
            <w:r/>
            <w:r>
              <w:rPr>
                <w:i w:val="0"/>
                <w:color w:val="1A1A1A"/>
                <w:sz w:val="18"/>
              </w:rPr>
              <w:t>22–24</w:t>
            </w:r>
          </w:p>
        </w:tc>
        <w:tc>
          <w:tcPr>
            <w:tcW w:type="dxa" w:w="4611"/>
            <w:shd w:val="clear" w:fill="EEF2F7"/>
          </w:tcPr>
          <w:p>
            <w:pPr>
              <w:spacing w:after="40" w:before="40"/>
            </w:pPr>
            <w:r/>
            <w:r>
              <w:rPr>
                <w:i w:val="0"/>
                <w:color w:val="1A1A1A"/>
                <w:sz w:val="18"/>
              </w:rPr>
              <w:t>It runs on my school's data, and I showed it</w:t>
            </w:r>
          </w:p>
        </w:tc>
        <w:tc>
          <w:tcPr>
            <w:tcW w:type="dxa" w:w="1882"/>
            <w:shd w:val="clear" w:fill="EEF2F7"/>
          </w:tcPr>
          <w:p>
            <w:pPr>
              <w:spacing w:after="40" w:before="40"/>
            </w:pPr>
            <w:r/>
            <w:r>
              <w:rPr>
                <w:b/>
                <w:i w:val="0"/>
                <w:color w:val="1A1A1A"/>
                <w:sz w:val="18"/>
              </w:rPr>
              <w:t>Final practical</w:t>
            </w:r>
          </w:p>
        </w:tc>
      </w:tr>
    </w:tbl>
    <w:p>
      <w:pPr>
        <w:spacing w:after="80"/>
      </w:pPr>
    </w:p>
    <w:p>
      <w:pPr>
        <w:pStyle w:val="Heading2"/>
      </w:pPr>
      <w:r>
        <w:t>How the grade-11 course is assessed</w:t>
      </w:r>
    </w:p>
    <w:p>
      <w:pPr>
        <w:spacing w:after="140"/>
      </w:pPr>
      <w:r>
        <w:rPr>
          <w:i w:val="0"/>
          <w:color w:val="1A1A1A"/>
          <w:sz w:val="21"/>
        </w:rPr>
        <w:t>Three sittings, on the same principle as the first course: the first two measure the programme, the third decides who continues.</w:t>
      </w:r>
    </w:p>
    <w:tbl>
      <w:tblPr>
        <w:tblStyle w:val="TableGrid"/>
        <w:tblW w:type="auto" w:w="0"/>
        <w:jc w:val="center"/>
        <w:tblLayout w:type="fixed"/>
        <w:tblLook w:firstColumn="1" w:firstRow="1" w:lastColumn="0" w:lastRow="0" w:noHBand="0" w:noVBand="1" w:val="04A0"/>
      </w:tblPr>
      <w:tblGrid>
        <w:gridCol w:w="376"/>
        <w:gridCol w:w="1600"/>
        <w:gridCol w:w="1412"/>
        <w:gridCol w:w="1129"/>
        <w:gridCol w:w="941"/>
        <w:gridCol w:w="3953"/>
      </w:tblGrid>
      <w:tr>
        <w:trPr>
          <w:tblHeader w:val="true"/>
        </w:trPr>
        <w:tc>
          <w:tcPr>
            <w:tcW w:type="dxa" w:w="376"/>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Sitting</w:t>
            </w:r>
          </w:p>
        </w:tc>
        <w:tc>
          <w:tcPr>
            <w:tcW w:type="dxa" w:w="1412"/>
            <w:shd w:val="clear" w:fill="1F3A5F"/>
          </w:tcPr>
          <w:p>
            <w:pPr>
              <w:spacing w:after="40" w:before="40"/>
            </w:pPr>
            <w:r/>
            <w:r>
              <w:rPr>
                <w:b/>
                <w:color w:val="FFFFFF"/>
                <w:sz w:val="18"/>
              </w:rPr>
              <w:t>When</w:t>
            </w:r>
          </w:p>
        </w:tc>
        <w:tc>
          <w:tcPr>
            <w:tcW w:type="dxa" w:w="1129"/>
            <w:shd w:val="clear" w:fill="1F3A5F"/>
          </w:tcPr>
          <w:p>
            <w:pPr>
              <w:spacing w:after="40" w:before="40"/>
            </w:pPr>
            <w:r/>
            <w:r>
              <w:rPr>
                <w:b/>
                <w:color w:val="FFFFFF"/>
                <w:sz w:val="18"/>
              </w:rPr>
              <w:t>Length</w:t>
            </w:r>
          </w:p>
        </w:tc>
        <w:tc>
          <w:tcPr>
            <w:tcW w:type="dxa" w:w="941"/>
            <w:shd w:val="clear" w:fill="1F3A5F"/>
          </w:tcPr>
          <w:p>
            <w:pPr>
              <w:spacing w:after="40" w:before="40"/>
            </w:pPr>
            <w:r/>
            <w:r>
              <w:rPr>
                <w:b/>
                <w:color w:val="FFFFFF"/>
                <w:sz w:val="18"/>
              </w:rPr>
              <w:t>Points</w:t>
            </w:r>
          </w:p>
        </w:tc>
        <w:tc>
          <w:tcPr>
            <w:tcW w:type="dxa" w:w="3953"/>
            <w:shd w:val="clear" w:fill="1F3A5F"/>
          </w:tcPr>
          <w:p>
            <w:pPr>
              <w:spacing w:after="40" w:before="40"/>
            </w:pPr>
            <w:r/>
            <w:r>
              <w:rPr>
                <w:b/>
                <w:color w:val="FFFFFF"/>
                <w:sz w:val="18"/>
              </w:rPr>
              <w:t>What it covers</w:t>
            </w:r>
          </w:p>
        </w:tc>
      </w:tr>
      <w:tr>
        <w:tc>
          <w:tcPr>
            <w:tcW w:type="dxa" w:w="376"/>
          </w:tcPr>
          <w:p>
            <w:pPr>
              <w:spacing w:after="40" w:before="40"/>
            </w:pPr>
            <w:r/>
            <w:r>
              <w:rPr>
                <w:i w:val="0"/>
                <w:color w:val="1A1A1A"/>
                <w:sz w:val="18"/>
              </w:rPr>
              <w:t>1</w:t>
            </w:r>
          </w:p>
        </w:tc>
        <w:tc>
          <w:tcPr>
            <w:tcW w:type="dxa" w:w="1600"/>
          </w:tcPr>
          <w:p>
            <w:pPr>
              <w:spacing w:after="40" w:before="40"/>
            </w:pPr>
            <w:r/>
            <w:r>
              <w:rPr>
                <w:i w:val="0"/>
                <w:color w:val="1A1A1A"/>
                <w:sz w:val="18"/>
              </w:rPr>
              <w:t>Initial diagnostic</w:t>
            </w:r>
          </w:p>
        </w:tc>
        <w:tc>
          <w:tcPr>
            <w:tcW w:type="dxa" w:w="1412"/>
          </w:tcPr>
          <w:p>
            <w:pPr>
              <w:spacing w:after="40" w:before="40"/>
            </w:pPr>
            <w:r/>
            <w:r>
              <w:rPr>
                <w:i w:val="0"/>
                <w:color w:val="1A1A1A"/>
                <w:sz w:val="18"/>
              </w:rPr>
              <w:t>Before session 1</w:t>
            </w:r>
          </w:p>
        </w:tc>
        <w:tc>
          <w:tcPr>
            <w:tcW w:type="dxa" w:w="1129"/>
          </w:tcPr>
          <w:p>
            <w:pPr>
              <w:spacing w:after="40" w:before="40"/>
            </w:pPr>
            <w:r/>
            <w:r>
              <w:rPr>
                <w:i w:val="0"/>
                <w:color w:val="1A1A1A"/>
                <w:sz w:val="18"/>
              </w:rPr>
              <w:t>45–60 min</w:t>
            </w:r>
          </w:p>
        </w:tc>
        <w:tc>
          <w:tcPr>
            <w:tcW w:type="dxa" w:w="941"/>
          </w:tcPr>
          <w:p>
            <w:pPr>
              <w:spacing w:after="40" w:before="40"/>
            </w:pPr>
            <w:r/>
            <w:r>
              <w:rPr>
                <w:i w:val="0"/>
                <w:color w:val="1A1A1A"/>
                <w:sz w:val="18"/>
              </w:rPr>
              <w:t>40</w:t>
            </w:r>
          </w:p>
        </w:tc>
        <w:tc>
          <w:tcPr>
            <w:tcW w:type="dxa" w:w="3953"/>
          </w:tcPr>
          <w:p>
            <w:pPr>
              <w:spacing w:after="40" w:before="40"/>
            </w:pPr>
            <w:r/>
            <w:r>
              <w:rPr>
                <w:b/>
                <w:i w:val="0"/>
                <w:color w:val="1A1A1A"/>
                <w:sz w:val="18"/>
              </w:rPr>
              <w:t>What the first course actually produced</w:t>
            </w:r>
            <w:r>
              <w:rPr>
                <w:i w:val="0"/>
                <w:color w:val="1A1A1A"/>
                <w:sz w:val="18"/>
              </w:rPr>
              <w:t xml:space="preserve"> — nothing from this one</w:t>
            </w:r>
          </w:p>
        </w:tc>
      </w:tr>
      <w:tr>
        <w:tc>
          <w:tcPr>
            <w:tcW w:type="dxa" w:w="376"/>
            <w:shd w:val="clear" w:fill="EEF2F7"/>
          </w:tcPr>
          <w:p>
            <w:pPr>
              <w:spacing w:after="40" w:before="40"/>
            </w:pPr>
            <w:r/>
            <w:r>
              <w:rPr>
                <w:i w:val="0"/>
                <w:color w:val="1A1A1A"/>
                <w:sz w:val="18"/>
              </w:rPr>
              <w:t>2</w:t>
            </w:r>
          </w:p>
        </w:tc>
        <w:tc>
          <w:tcPr>
            <w:tcW w:type="dxa" w:w="1600"/>
            <w:shd w:val="clear" w:fill="EEF2F7"/>
          </w:tcPr>
          <w:p>
            <w:pPr>
              <w:spacing w:after="40" w:before="40"/>
            </w:pPr>
            <w:r/>
            <w:r>
              <w:rPr>
                <w:i w:val="0"/>
                <w:color w:val="1A1A1A"/>
                <w:sz w:val="18"/>
              </w:rPr>
              <w:t>Midpoint</w:t>
            </w:r>
          </w:p>
        </w:tc>
        <w:tc>
          <w:tcPr>
            <w:tcW w:type="dxa" w:w="1412"/>
            <w:shd w:val="clear" w:fill="EEF2F7"/>
          </w:tcPr>
          <w:p>
            <w:pPr>
              <w:spacing w:after="40" w:before="40"/>
            </w:pPr>
            <w:r/>
            <w:r>
              <w:rPr>
                <w:i w:val="0"/>
                <w:color w:val="1A1A1A"/>
                <w:sz w:val="18"/>
              </w:rPr>
              <w:t>After session 8</w:t>
            </w:r>
          </w:p>
        </w:tc>
        <w:tc>
          <w:tcPr>
            <w:tcW w:type="dxa" w:w="1129"/>
            <w:shd w:val="clear" w:fill="EEF2F7"/>
          </w:tcPr>
          <w:p>
            <w:pPr>
              <w:spacing w:after="40" w:before="40"/>
            </w:pPr>
            <w:r/>
            <w:r>
              <w:rPr>
                <w:i w:val="0"/>
                <w:color w:val="1A1A1A"/>
                <w:sz w:val="18"/>
              </w:rPr>
              <w:t>60–75 min</w:t>
            </w:r>
          </w:p>
        </w:tc>
        <w:tc>
          <w:tcPr>
            <w:tcW w:type="dxa" w:w="941"/>
            <w:shd w:val="clear" w:fill="EEF2F7"/>
          </w:tcPr>
          <w:p>
            <w:pPr>
              <w:spacing w:after="40" w:before="40"/>
            </w:pPr>
            <w:r/>
            <w:r>
              <w:rPr>
                <w:i w:val="0"/>
                <w:color w:val="1A1A1A"/>
                <w:sz w:val="18"/>
              </w:rPr>
              <w:t>50</w:t>
            </w:r>
          </w:p>
        </w:tc>
        <w:tc>
          <w:tcPr>
            <w:tcW w:type="dxa" w:w="3953"/>
            <w:shd w:val="clear" w:fill="EEF2F7"/>
          </w:tcPr>
          <w:p>
            <w:pPr>
              <w:spacing w:after="40" w:before="40"/>
            </w:pPr>
            <w:r/>
            <w:r>
              <w:rPr>
                <w:i w:val="0"/>
                <w:color w:val="1A1A1A"/>
                <w:sz w:val="18"/>
              </w:rPr>
              <w:t>Topics 2–11: functions, comprehensions, classes, inheritance</w:t>
            </w:r>
          </w:p>
        </w:tc>
      </w:tr>
      <w:tr>
        <w:tc>
          <w:tcPr>
            <w:tcW w:type="dxa" w:w="376"/>
          </w:tcPr>
          <w:p>
            <w:pPr>
              <w:spacing w:after="40" w:before="40"/>
            </w:pPr>
            <w:r/>
            <w:r>
              <w:rPr>
                <w:i w:val="0"/>
                <w:color w:val="1A1A1A"/>
                <w:sz w:val="18"/>
              </w:rPr>
              <w:t>3</w:t>
            </w:r>
          </w:p>
        </w:tc>
        <w:tc>
          <w:tcPr>
            <w:tcW w:type="dxa" w:w="1600"/>
          </w:tcPr>
          <w:p>
            <w:pPr>
              <w:spacing w:after="40" w:before="40"/>
            </w:pPr>
            <w:r/>
            <w:r>
              <w:rPr>
                <w:i w:val="0"/>
                <w:color w:val="1A1A1A"/>
                <w:sz w:val="18"/>
              </w:rPr>
              <w:t>Final practical</w:t>
            </w:r>
          </w:p>
        </w:tc>
        <w:tc>
          <w:tcPr>
            <w:tcW w:type="dxa" w:w="1412"/>
          </w:tcPr>
          <w:p>
            <w:pPr>
              <w:spacing w:after="40" w:before="40"/>
            </w:pPr>
            <w:r/>
            <w:r>
              <w:rPr>
                <w:i w:val="0"/>
                <w:color w:val="1A1A1A"/>
                <w:sz w:val="18"/>
              </w:rPr>
              <w:t>Session 16</w:t>
            </w:r>
          </w:p>
        </w:tc>
        <w:tc>
          <w:tcPr>
            <w:tcW w:type="dxa" w:w="1129"/>
          </w:tcPr>
          <w:p>
            <w:pPr>
              <w:spacing w:after="40" w:before="40"/>
            </w:pPr>
            <w:r/>
            <w:r>
              <w:rPr>
                <w:i w:val="0"/>
                <w:color w:val="1A1A1A"/>
                <w:sz w:val="18"/>
              </w:rPr>
              <w:t>90–120 min</w:t>
            </w:r>
          </w:p>
        </w:tc>
        <w:tc>
          <w:tcPr>
            <w:tcW w:type="dxa" w:w="941"/>
          </w:tcPr>
          <w:p>
            <w:pPr>
              <w:spacing w:after="40" w:before="40"/>
            </w:pPr>
            <w:r/>
            <w:r>
              <w:rPr>
                <w:i w:val="0"/>
                <w:color w:val="1A1A1A"/>
                <w:sz w:val="18"/>
              </w:rPr>
              <w:t>70 + 10</w:t>
            </w:r>
          </w:p>
        </w:tc>
        <w:tc>
          <w:tcPr>
            <w:tcW w:type="dxa" w:w="3953"/>
          </w:tcPr>
          <w:p>
            <w:pPr>
              <w:spacing w:after="40" w:before="40"/>
            </w:pPr>
            <w:r/>
            <w:r>
              <w:rPr>
                <w:i w:val="0"/>
                <w:color w:val="1A1A1A"/>
                <w:sz w:val="18"/>
              </w:rPr>
              <w:t>Topics 12–24: libraries, charts, data, recursion, the project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Two things worth your attention in that table</w:t>
            </w:r>
          </w:p>
          <w:p>
            <w:pPr>
              <w:spacing w:after="20"/>
            </w:pPr>
            <w:r>
              <w:rPr>
                <w:b/>
                <w:i w:val="0"/>
                <w:color w:val="1A1A1A"/>
                <w:sz w:val="20"/>
              </w:rPr>
              <w:t>The diagnostic measures the first course, not this one.</w:t>
            </w:r>
            <w:r>
              <w:rPr>
                <w:i w:val="0"/>
                <w:color w:val="1A1A1A"/>
                <w:sz w:val="20"/>
              </w:rPr>
              <w:t xml:space="preserve"> It is the only point at which we find out what the grade-10 programme actually produced, taken before the second course can affect the answer. Its marking guide includes the option of sending a cohort back to repeat the first course.</w:t>
            </w:r>
          </w:p>
          <w:p>
            <w:pPr>
              <w:spacing w:after="20"/>
            </w:pPr>
            <w:r>
              <w:rPr>
                <w:b/>
                <w:i w:val="0"/>
                <w:color w:val="1A1A1A"/>
                <w:sz w:val="20"/>
              </w:rPr>
              <w:t>The midpoint is a go/no-go on objects.</w:t>
            </w:r>
            <w:r>
              <w:rPr>
                <w:i w:val="0"/>
                <w:color w:val="1A1A1A"/>
                <w:sz w:val="20"/>
              </w:rPr>
              <w:t xml:space="preserve"> Whether a participant can write a working class decides whether the libraries half of the course can start at all. If the cohort fails it, the instruction is to spend a session on revision rather than press on.</w:t>
            </w:r>
          </w:p>
        </w:tc>
      </w:tr>
    </w:tbl>
    <w:p>
      <w:pPr>
        <w:spacing w:after="80"/>
      </w:pPr>
    </w:p>
    <w:p>
      <w:pPr>
        <w:pStyle w:val="Heading2"/>
      </w:pPr>
      <w:r>
        <w:t>What a grade-11 participant finishes with</w:t>
      </w:r>
    </w:p>
    <w:p>
      <w:pPr>
        <w:spacing w:after="140"/>
      </w:pPr>
      <w:r>
        <w:rPr>
          <w:i w:val="0"/>
          <w:color w:val="1A1A1A"/>
          <w:sz w:val="21"/>
        </w:rPr>
        <w:t xml:space="preserve">A five-file Python program — settings, people, loading, charts and an entry point — that reads </w:t>
      </w:r>
      <w:r>
        <w:rPr>
          <w:b/>
          <w:i w:val="0"/>
          <w:color w:val="1A1A1A"/>
          <w:sz w:val="21"/>
        </w:rPr>
        <w:t>their own school's grade file</w:t>
      </w:r>
      <w:r>
        <w:rPr>
          <w:i w:val="0"/>
          <w:color w:val="1A1A1A"/>
          <w:sz w:val="21"/>
        </w:rPr>
        <w:t>, prints the term's statistics by class and by subject, lists the pupils who need attention, and saves two charts as image files that can go straight into a report.</w:t>
      </w:r>
    </w:p>
    <w:p>
      <w:pPr>
        <w:pStyle w:val="Heading2"/>
      </w:pPr>
      <w:r>
        <w:t>Three gaps we are naming rather than hiding</w:t>
      </w:r>
    </w:p>
    <w:p>
      <w:pPr>
        <w:pStyle w:val="ListBullet"/>
        <w:spacing w:after="60"/>
        <w:ind w:left="397"/>
      </w:pPr>
      <w:r>
        <w:rPr>
          <w:b/>
          <w:i w:val="0"/>
          <w:color w:val="1A1A1A"/>
          <w:sz w:val="21"/>
        </w:rPr>
        <w:t>Recursion is taught as mechanics only</w:t>
      </w:r>
      <w:r>
        <w:rPr>
          <w:i w:val="0"/>
          <w:color w:val="1A1A1A"/>
          <w:sz w:val="21"/>
        </w:rPr>
        <w:t xml:space="preserve"> — walking a nested structure. Its algorithmic half, including the call stack and complexity, is Part 2 material. The build fails if the teaching material so much as names factorial or Fibonacci.</w:t>
      </w:r>
    </w:p>
    <w:p>
      <w:pPr>
        <w:pStyle w:val="ListBullet"/>
        <w:spacing w:after="60"/>
        <w:ind w:left="397"/>
      </w:pPr>
      <w:r>
        <w:rPr>
          <w:b/>
          <w:i w:val="0"/>
          <w:color w:val="1A1A1A"/>
          <w:sz w:val="21"/>
        </w:rPr>
        <w:t>Topic 21 names six libraries and five environments.</w:t>
      </w:r>
      <w:r>
        <w:rPr>
          <w:i w:val="0"/>
          <w:color w:val="1A1A1A"/>
          <w:sz w:val="21"/>
        </w:rPr>
        <w:t xml:space="preserve"> Three libraries are taught to the point of use. The rest are named once, in the final session, with what each one is and why a grade-11 teacher does not need it — because pupils will ask, and «that is difficult» is the wrong answer.</w:t>
      </w:r>
    </w:p>
    <w:p>
      <w:pPr>
        <w:pStyle w:val="ListBullet"/>
        <w:spacing w:after="60"/>
        <w:ind w:left="397"/>
      </w:pPr>
      <w:r>
        <w:rPr>
          <w:b/>
          <w:i w:val="0"/>
          <w:color w:val="1A1A1A"/>
          <w:sz w:val="21"/>
        </w:rPr>
        <w:t>Neither course has been taught to a cohort.</w:t>
      </w:r>
      <w:r>
        <w:rPr>
          <w:i w:val="0"/>
          <w:color w:val="1A1A1A"/>
          <w:sz w:val="21"/>
        </w:rPr>
        <w:t xml:space="preserve"> Everything above is a design claim, not a result.</w:t>
      </w:r>
    </w:p>
    <w:p>
      <w:r>
        <w:br w:type="page"/>
      </w:r>
    </w:p>
    <w:p>
      <w:pPr>
        <w:pStyle w:val="Heading1"/>
        <w:pBdr>
          <w:bottom w:val="single" w:sz="6" w:space="4" w:color="1F3A5F"/>
        </w:pBdr>
      </w:pPr>
      <w:r>
        <w:t>12.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w:t>
            </w:r>
            <w:r>
              <w:rPr>
                <w:rFonts w:ascii="Consolas" w:hAnsi="Consolas"/>
                <w:i w:val="0"/>
                <w:color w:val="1A1A1A"/>
                <w:sz w:val="18"/>
              </w:rPr>
              <w:t>*args</w:t>
            </w:r>
            <w:r>
              <w:rPr>
                <w:i w:val="0"/>
                <w:color w:val="1A1A1A"/>
                <w:sz w:val="18"/>
              </w:rPr>
              <w:t>/</w:t>
            </w:r>
            <w:r>
              <w:rPr>
                <w:rFonts w:ascii="Consolas" w:hAnsi="Consolas"/>
                <w:i w:val="0"/>
                <w:color w:val="1A1A1A"/>
                <w:sz w:val="18"/>
              </w:rPr>
              <w:t>**kwargs</w:t>
            </w:r>
            <w:r>
              <w:rPr>
                <w:i w:val="0"/>
                <w:color w:val="1A1A1A"/>
                <w:sz w:val="18"/>
              </w:rPr>
              <w:t xml:space="preserve">, scope, comprehensions and </w:t>
            </w:r>
            <w:r>
              <w:rPr>
                <w:rFonts w:ascii="Consolas" w:hAnsi="Consolas"/>
                <w:i w:val="0"/>
                <w:color w:val="1A1A1A"/>
                <w:sz w:val="18"/>
              </w:rPr>
              <w:t>lambda</w:t>
            </w:r>
            <w:r>
              <w:rPr>
                <w:i w:val="0"/>
                <w:color w:val="1A1A1A"/>
                <w:sz w:val="18"/>
              </w:rPr>
              <w:t>,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two months of practice, the sequencing was right. State curriculum topic 16</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Recursion</w:t>
            </w:r>
          </w:p>
        </w:tc>
        <w:tc>
          <w:tcPr>
            <w:tcW w:type="dxa" w:w="5082"/>
            <w:shd w:val="clear" w:fill="EEF2F7"/>
          </w:tcPr>
          <w:p>
            <w:pPr>
              <w:spacing w:after="40" w:before="40"/>
            </w:pPr>
            <w:r/>
            <w:r>
              <w:rPr>
                <w:i w:val="0"/>
                <w:color w:val="1A1A1A"/>
                <w:sz w:val="18"/>
              </w:rPr>
              <w:t xml:space="preserve">Placed here for the same reason the state curriculum places it immediately after advanced functions: it is a fact about functions before it is a technique. </w:t>
            </w:r>
            <w:r>
              <w:rPr>
                <w:b/>
                <w:i w:val="0"/>
                <w:color w:val="1A1A1A"/>
                <w:sz w:val="18"/>
              </w:rPr>
              <w:t>Before classes</w:t>
            </w:r>
            <w:r>
              <w:rPr>
                <w:i w:val="0"/>
                <w:color w:val="1A1A1A"/>
                <w:sz w:val="18"/>
              </w:rPr>
              <w:t>, as the state curriculum has it. Topic 17</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shd w:val="clear" w:fill="EEF2F7"/>
          </w:tcPr>
          <w:p>
            <w:pPr>
              <w:spacing w:after="40" w:before="40"/>
            </w:pPr>
            <w:r/>
            <w:r>
              <w:rPr>
                <w:i w:val="0"/>
                <w:color w:val="1A1A1A"/>
                <w:sz w:val="18"/>
              </w:rPr>
              <w:t>Where structure starts to matter, and where a program becomes too big to hold in your head</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Objects and classes</w:t>
            </w:r>
            <w:r>
              <w:rPr>
                <w:i w:val="0"/>
                <w:color w:val="1A1A1A"/>
                <w:sz w:val="18"/>
              </w:rPr>
              <w:t>, including inheritance</w:t>
            </w:r>
          </w:p>
        </w:tc>
        <w:tc>
          <w:tcPr>
            <w:tcW w:type="dxa" w:w="5082"/>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4. Topics 18–19</w:t>
            </w:r>
          </w:p>
        </w:tc>
      </w:tr>
      <w:tr>
        <w:tc>
          <w:tcPr>
            <w:tcW w:type="dxa" w:w="565"/>
            <w:shd w:val="clear" w:fill="EEF2F7"/>
          </w:tcPr>
          <w:p>
            <w:pPr>
              <w:spacing w:after="40" w:before="40"/>
            </w:pPr>
            <w:r/>
            <w:r>
              <w:rPr>
                <w:i w:val="0"/>
                <w:color w:val="1A1A1A"/>
                <w:sz w:val="18"/>
              </w:rPr>
              <w:t>6</w:t>
            </w:r>
          </w:p>
        </w:tc>
        <w:tc>
          <w:tcPr>
            <w:tcW w:type="dxa" w:w="3764"/>
            <w:shd w:val="clear" w:fill="EEF2F7"/>
          </w:tcPr>
          <w:p>
            <w:pPr>
              <w:spacing w:after="40" w:before="40"/>
            </w:pPr>
            <w:r/>
            <w:r>
              <w:rPr>
                <w:b/>
                <w:i w:val="0"/>
                <w:color w:val="1A1A1A"/>
                <w:sz w:val="18"/>
              </w:rPr>
              <w:t>Libraries and environments</w:t>
            </w:r>
            <w:r>
              <w:rPr>
                <w:i w:val="0"/>
                <w:color w:val="1A1A1A"/>
                <w:sz w:val="18"/>
              </w:rPr>
              <w:t xml:space="preserve"> — </w:t>
            </w:r>
            <w:r>
              <w:rPr>
                <w:rFonts w:ascii="Consolas" w:hAnsi="Consolas"/>
                <w:i w:val="0"/>
                <w:color w:val="1A1A1A"/>
                <w:sz w:val="18"/>
              </w:rPr>
              <w:t>pip</w:t>
            </w:r>
            <w:r>
              <w:rPr>
                <w:i w:val="0"/>
                <w:color w:val="1A1A1A"/>
                <w:sz w:val="18"/>
              </w:rPr>
              <w:t>, NumPy, Matplotlib, pandas, Colab and Kaggle</w:t>
            </w:r>
          </w:p>
        </w:tc>
        <w:tc>
          <w:tcPr>
            <w:tcW w:type="dxa" w:w="5082"/>
            <w:shd w:val="clear" w:fill="EEF2F7"/>
          </w:tcPr>
          <w:p>
            <w:pPr>
              <w:spacing w:after="40" w:before="40"/>
            </w:pPr>
            <w:r/>
            <w:r>
              <w:rPr>
                <w:i w:val="0"/>
                <w:color w:val="1A1A1A"/>
                <w:sz w:val="18"/>
              </w:rPr>
              <w:t xml:space="preserve">Together the largest block in the state curriculum, and the bridge into the Artificial Intelligence subject beside Python. </w:t>
            </w:r>
            <w:r>
              <w:rPr>
                <w:b/>
                <w:i w:val="0"/>
                <w:color w:val="1A1A1A"/>
                <w:sz w:val="18"/>
              </w:rPr>
              <w:t>This stage deliberately breaks Part 1's standard-library-only rule</w:t>
            </w:r>
            <w:r>
              <w:rPr>
                <w:i w:val="0"/>
                <w:color w:val="1A1A1A"/>
                <w:sz w:val="18"/>
              </w:rPr>
              <w:t>, which has done its job by then. Topics 15 and 21</w:t>
            </w:r>
          </w:p>
        </w:tc>
      </w:tr>
    </w:tbl>
    <w:p>
      <w:pPr>
        <w:spacing w:after="80"/>
      </w:pPr>
    </w:p>
    <w:p>
      <w:pPr>
        <w:spacing w:after="140"/>
      </w:pPr>
      <w:r>
        <w:rPr>
          <w:b/>
          <w:i/>
          <w:color w:val="1A1A1A"/>
          <w:sz w:val="21"/>
        </w:rPr>
        <w:t>Git and version control</w:t>
      </w:r>
      <w:r>
        <w:rPr>
          <w:i/>
          <w:color w:val="1A1A1A"/>
          <w:sz w:val="21"/>
        </w:rPr>
        <w:t xml:space="preserve"> (state curriculum topic 23) stays out of scope and is revisited once Part 1 reports: if the cohort arrives at Part 2 comfortably, git and the remaining tooling go in; if not, the time is better spent elsewhere.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22½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3764"/>
        <w:gridCol w:w="1035"/>
        <w:gridCol w:w="1035"/>
        <w:gridCol w:w="3576"/>
      </w:tblGrid>
      <w:tr>
        <w:trPr>
          <w:tblHeader w:val="true"/>
        </w:trPr>
        <w:tc>
          <w:tcPr>
            <w:tcW w:type="dxa" w:w="3764"/>
            <w:shd w:val="clear" w:fill="1F3A5F"/>
          </w:tcPr>
          <w:p>
            <w:pPr>
              <w:spacing w:after="40" w:before="40"/>
            </w:pPr>
            <w:r/>
            <w:r>
              <w:rPr>
                <w:b/>
                <w:color w:val="FFFFFF"/>
                <w:sz w:val="18"/>
              </w:rPr>
              <w:t>Material</w:t>
            </w:r>
          </w:p>
        </w:tc>
        <w:tc>
          <w:tcPr>
            <w:tcW w:type="dxa" w:w="1035"/>
            <w:shd w:val="clear" w:fill="1F3A5F"/>
          </w:tcPr>
          <w:p>
            <w:pPr>
              <w:spacing w:after="40" w:before="40"/>
            </w:pPr>
            <w:r/>
            <w:r>
              <w:rPr>
                <w:b/>
                <w:color w:val="FFFFFF"/>
                <w:sz w:val="18"/>
              </w:rPr>
              <w:t>Grade 10</w:t>
            </w:r>
          </w:p>
        </w:tc>
        <w:tc>
          <w:tcPr>
            <w:tcW w:type="dxa" w:w="1035"/>
            <w:shd w:val="clear" w:fill="1F3A5F"/>
          </w:tcPr>
          <w:p>
            <w:pPr>
              <w:spacing w:after="40" w:before="40"/>
            </w:pPr>
            <w:r/>
            <w:r>
              <w:rPr>
                <w:b/>
                <w:color w:val="FFFFFF"/>
                <w:sz w:val="18"/>
              </w:rPr>
              <w:t>Grade 11</w:t>
            </w:r>
          </w:p>
        </w:tc>
        <w:tc>
          <w:tcPr>
            <w:tcW w:type="dxa" w:w="3576"/>
            <w:shd w:val="clear" w:fill="1F3A5F"/>
          </w:tcPr>
          <w:p>
            <w:pPr>
              <w:spacing w:after="40" w:before="40"/>
            </w:pPr>
            <w:r/>
            <w:r>
              <w:rPr>
                <w:b/>
                <w:color w:val="FFFFFF"/>
                <w:sz w:val="18"/>
              </w:rPr>
              <w:t>Audience</w:t>
            </w:r>
          </w:p>
        </w:tc>
      </w:tr>
      <w:tr>
        <w:tc>
          <w:tcPr>
            <w:tcW w:type="dxa" w:w="3764"/>
          </w:tcPr>
          <w:p>
            <w:pPr>
              <w:spacing w:after="40" w:before="40"/>
            </w:pPr>
            <w:r/>
            <w:r>
              <w:rPr>
                <w:i w:val="0"/>
                <w:color w:val="1A1A1A"/>
                <w:sz w:val="18"/>
              </w:rPr>
              <w:t>Lesson notebooks</w:t>
            </w:r>
          </w:p>
        </w:tc>
        <w:tc>
          <w:tcPr>
            <w:tcW w:type="dxa" w:w="1035"/>
          </w:tcPr>
          <w:p>
            <w:pPr>
              <w:spacing w:after="40" w:before="40"/>
            </w:pPr>
            <w:r/>
            <w:r>
              <w:rPr>
                <w:i w:val="0"/>
                <w:color w:val="1A1A1A"/>
                <w:sz w:val="18"/>
              </w:rPr>
              <w:t>19</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Written guides</w:t>
            </w:r>
          </w:p>
        </w:tc>
        <w:tc>
          <w:tcPr>
            <w:tcW w:type="dxa" w:w="1035"/>
            <w:shd w:val="clear" w:fill="EEF2F7"/>
          </w:tcPr>
          <w:p>
            <w:pPr>
              <w:spacing w:after="40" w:before="40"/>
            </w:pPr>
            <w:r/>
            <w:r>
              <w:rPr>
                <w:i w:val="0"/>
                <w:color w:val="1A1A1A"/>
                <w:sz w:val="18"/>
              </w:rPr>
              <w:t>5</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Participant</w:t>
            </w:r>
          </w:p>
        </w:tc>
      </w:tr>
      <w:tr>
        <w:tc>
          <w:tcPr>
            <w:tcW w:type="dxa" w:w="3764"/>
          </w:tcPr>
          <w:p>
            <w:pPr>
              <w:spacing w:after="40" w:before="40"/>
            </w:pPr>
            <w:r/>
            <w:r>
              <w:rPr>
                <w:i w:val="0"/>
                <w:color w:val="1A1A1A"/>
                <w:sz w:val="18"/>
              </w:rPr>
              <w:t>Worked solutions</w:t>
            </w:r>
          </w:p>
        </w:tc>
        <w:tc>
          <w:tcPr>
            <w:tcW w:type="dxa" w:w="1035"/>
          </w:tcPr>
          <w:p>
            <w:pPr>
              <w:spacing w:after="40" w:before="40"/>
            </w:pPr>
            <w:r/>
            <w:r>
              <w:rPr>
                <w:i w:val="0"/>
                <w:color w:val="1A1A1A"/>
                <w:sz w:val="18"/>
              </w:rPr>
              <w:t>18</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 after each session</w:t>
            </w:r>
          </w:p>
        </w:tc>
      </w:tr>
      <w:tr>
        <w:tc>
          <w:tcPr>
            <w:tcW w:type="dxa" w:w="3764"/>
            <w:shd w:val="clear" w:fill="EEF2F7"/>
          </w:tcPr>
          <w:p>
            <w:pPr>
              <w:spacing w:after="40" w:before="40"/>
            </w:pPr>
            <w:r/>
            <w:r>
              <w:rPr>
                <w:i w:val="0"/>
                <w:color w:val="1A1A1A"/>
                <w:sz w:val="18"/>
              </w:rPr>
              <w:t>Assessments — grader's and participant versions</w:t>
            </w:r>
          </w:p>
        </w:tc>
        <w:tc>
          <w:tcPr>
            <w:tcW w:type="dxa" w:w="1035"/>
            <w:shd w:val="clear" w:fill="EEF2F7"/>
          </w:tcPr>
          <w:p>
            <w:pPr>
              <w:spacing w:after="40" w:before="40"/>
            </w:pPr>
            <w:r/>
            <w:r>
              <w:rPr>
                <w:i w:val="0"/>
                <w:color w:val="1A1A1A"/>
                <w:sz w:val="18"/>
              </w:rPr>
              <w:t>3 × 2</w:t>
            </w:r>
          </w:p>
        </w:tc>
        <w:tc>
          <w:tcPr>
            <w:tcW w:type="dxa" w:w="1035"/>
            <w:shd w:val="clear" w:fill="EEF2F7"/>
          </w:tcPr>
          <w:p>
            <w:pPr>
              <w:spacing w:after="40" w:before="40"/>
            </w:pPr>
            <w:r/>
            <w:r>
              <w:rPr>
                <w:i w:val="0"/>
                <w:color w:val="1A1A1A"/>
                <w:sz w:val="18"/>
              </w:rPr>
              <w:t>3 × 2</w:t>
            </w:r>
          </w:p>
        </w:tc>
        <w:tc>
          <w:tcPr>
            <w:tcW w:type="dxa" w:w="3576"/>
            <w:shd w:val="clear" w:fill="EEF2F7"/>
          </w:tcPr>
          <w:p>
            <w:pPr>
              <w:spacing w:after="40" w:before="40"/>
            </w:pPr>
            <w:r/>
            <w:r>
              <w:rPr>
                <w:i w:val="0"/>
                <w:color w:val="1A1A1A"/>
                <w:sz w:val="18"/>
              </w:rPr>
              <w:t>Participant / instructor</w:t>
            </w:r>
          </w:p>
        </w:tc>
      </w:tr>
      <w:tr>
        <w:tc>
          <w:tcPr>
            <w:tcW w:type="dxa" w:w="3764"/>
          </w:tcPr>
          <w:p>
            <w:pPr>
              <w:spacing w:after="40" w:before="40"/>
            </w:pPr>
            <w:r/>
            <w:r>
              <w:rPr>
                <w:i w:val="0"/>
                <w:color w:val="1A1A1A"/>
                <w:sz w:val="18"/>
              </w:rPr>
              <w:t>Assessment marking guides</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Instructor only</w:t>
            </w:r>
          </w:p>
        </w:tc>
      </w:tr>
      <w:tr>
        <w:tc>
          <w:tcPr>
            <w:tcW w:type="dxa" w:w="3764"/>
            <w:shd w:val="clear" w:fill="EEF2F7"/>
          </w:tcPr>
          <w:p>
            <w:pPr>
              <w:spacing w:after="40" w:before="40"/>
            </w:pPr>
            <w:r/>
            <w:r>
              <w:rPr>
                <w:i w:val="0"/>
                <w:color w:val="1A1A1A"/>
                <w:sz w:val="18"/>
              </w:rPr>
              <w:t>Reference program</w:t>
            </w:r>
          </w:p>
        </w:tc>
        <w:tc>
          <w:tcPr>
            <w:tcW w:type="dxa" w:w="1035"/>
            <w:shd w:val="clear" w:fill="EEF2F7"/>
          </w:tcPr>
          <w:p>
            <w:pPr>
              <w:spacing w:after="40" w:before="40"/>
            </w:pPr>
            <w:r/>
            <w:r>
              <w:rPr>
                <w:i w:val="0"/>
                <w:color w:val="1A1A1A"/>
                <w:sz w:val="18"/>
              </w:rPr>
              <w:t>4 files</w:t>
            </w:r>
          </w:p>
        </w:tc>
        <w:tc>
          <w:tcPr>
            <w:tcW w:type="dxa" w:w="1035"/>
            <w:shd w:val="clear" w:fill="EEF2F7"/>
          </w:tcPr>
          <w:p>
            <w:pPr>
              <w:spacing w:after="40" w:before="40"/>
            </w:pPr>
            <w:r/>
            <w:r>
              <w:rPr>
                <w:i w:val="0"/>
                <w:color w:val="1A1A1A"/>
                <w:sz w:val="18"/>
              </w:rPr>
              <w:t>5 files</w:t>
            </w:r>
          </w:p>
        </w:tc>
        <w:tc>
          <w:tcPr>
            <w:tcW w:type="dxa" w:w="3576"/>
            <w:shd w:val="clear" w:fill="EEF2F7"/>
          </w:tcPr>
          <w:p>
            <w:pPr>
              <w:spacing w:after="40" w:before="40"/>
            </w:pPr>
            <w:r/>
            <w:r>
              <w:rPr>
                <w:i w:val="0"/>
                <w:color w:val="1A1A1A"/>
                <w:sz w:val="18"/>
              </w:rPr>
              <w:t>Participant, from the transition session</w:t>
            </w:r>
          </w:p>
        </w:tc>
      </w:tr>
      <w:tr>
        <w:tc>
          <w:tcPr>
            <w:tcW w:type="dxa" w:w="3764"/>
          </w:tcPr>
          <w:p>
            <w:pPr>
              <w:spacing w:after="40" w:before="40"/>
            </w:pPr>
            <w:r/>
            <w:r>
              <w:rPr>
                <w:i w:val="0"/>
                <w:color w:val="1A1A1A"/>
                <w:sz w:val="18"/>
              </w:rPr>
              <w:t>Installation instructions, reference sheet, setup check</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Instructor notes, curriculum, build specification</w:t>
            </w:r>
          </w:p>
        </w:tc>
        <w:tc>
          <w:tcPr>
            <w:tcW w:type="dxa" w:w="1035"/>
            <w:shd w:val="clear" w:fill="EEF2F7"/>
          </w:tcPr>
          <w:p>
            <w:pPr>
              <w:spacing w:after="40" w:before="40"/>
            </w:pPr>
            <w:r/>
            <w:r>
              <w:rPr>
                <w:i w:val="0"/>
                <w:color w:val="1A1A1A"/>
                <w:sz w:val="18"/>
              </w:rPr>
              <w:t>3</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Instructor / organiser</w:t>
            </w:r>
          </w:p>
        </w:tc>
      </w:tr>
      <w:tr>
        <w:tc>
          <w:tcPr>
            <w:tcW w:type="dxa" w:w="3764"/>
          </w:tcPr>
          <w:p>
            <w:pPr>
              <w:spacing w:after="40" w:before="40"/>
            </w:pPr>
            <w:r/>
            <w:r>
              <w:rPr>
                <w:i w:val="0"/>
                <w:color w:val="1A1A1A"/>
                <w:sz w:val="18"/>
              </w:rPr>
              <w:t>Recruitment announcement, enrolment guidance</w:t>
            </w:r>
          </w:p>
        </w:tc>
        <w:tc>
          <w:tcPr>
            <w:tcW w:type="dxa" w:w="1035"/>
          </w:tcPr>
          <w:p>
            <w:pPr>
              <w:spacing w:after="40" w:before="40"/>
            </w:pPr>
            <w:r/>
            <w:r>
              <w:rPr>
                <w:i w:val="0"/>
                <w:color w:val="1A1A1A"/>
                <w:sz w:val="18"/>
              </w:rPr>
              <w:t>2</w:t>
            </w:r>
          </w:p>
        </w:tc>
        <w:tc>
          <w:tcPr>
            <w:tcW w:type="dxa" w:w="1035"/>
          </w:tcPr>
          <w:p>
            <w:pPr>
              <w:spacing w:after="40" w:before="40"/>
            </w:pPr>
            <w:r/>
            <w:r>
              <w:rPr>
                <w:i w:val="0"/>
                <w:color w:val="1A1A1A"/>
                <w:sz w:val="18"/>
              </w:rPr>
              <w:t>2</w:t>
            </w:r>
          </w:p>
        </w:tc>
        <w:tc>
          <w:tcPr>
            <w:tcW w:type="dxa" w:w="3576"/>
          </w:tcPr>
          <w:p>
            <w:pPr>
              <w:spacing w:after="40" w:before="40"/>
            </w:pPr>
            <w:r/>
            <w:r>
              <w:rPr>
                <w:i w:val="0"/>
                <w:color w:val="1A1A1A"/>
                <w:sz w:val="18"/>
              </w:rPr>
              <w:t>Prospective participants</w:t>
            </w:r>
          </w:p>
        </w:tc>
      </w:tr>
      <w:tr>
        <w:tc>
          <w:tcPr>
            <w:tcW w:type="dxa" w:w="3764"/>
            <w:shd w:val="clear" w:fill="EEF2F7"/>
          </w:tcPr>
          <w:p>
            <w:pPr>
              <w:spacing w:after="40" w:before="40"/>
            </w:pPr>
            <w:r/>
            <w:r>
              <w:rPr>
                <w:b/>
                <w:i w:val="0"/>
                <w:color w:val="1A1A1A"/>
                <w:sz w:val="18"/>
              </w:rPr>
              <w:t>Notebooks that must execute before any change is accepted</w:t>
            </w:r>
          </w:p>
        </w:tc>
        <w:tc>
          <w:tcPr>
            <w:tcW w:type="dxa" w:w="1035"/>
            <w:shd w:val="clear" w:fill="EEF2F7"/>
          </w:tcPr>
          <w:p>
            <w:pPr>
              <w:spacing w:after="40" w:before="40"/>
            </w:pPr>
            <w:r/>
            <w:r>
              <w:rPr>
                <w:b/>
                <w:i w:val="0"/>
                <w:color w:val="1A1A1A"/>
                <w:sz w:val="18"/>
              </w:rPr>
              <w:t>43</w:t>
            </w:r>
          </w:p>
        </w:tc>
        <w:tc>
          <w:tcPr>
            <w:tcW w:type="dxa" w:w="1035"/>
            <w:shd w:val="clear" w:fill="EEF2F7"/>
          </w:tcPr>
          <w:p>
            <w:pPr>
              <w:spacing w:after="40" w:before="40"/>
            </w:pPr>
            <w:r/>
            <w:r>
              <w:rPr>
                <w:b/>
                <w:i w:val="0"/>
                <w:color w:val="1A1A1A"/>
                <w:sz w:val="18"/>
              </w:rPr>
              <w:t>48</w:t>
            </w:r>
          </w:p>
        </w:tc>
        <w:tc>
          <w:tcPr>
            <w:tcW w:type="dxa" w:w="3576"/>
            <w:shd w:val="clear" w:fill="EEF2F7"/>
          </w:tcPr>
          <w:p>
            <w:pPr>
              <w:spacing w:after="40" w:before="40"/>
            </w:pPr>
            <w:r/>
            <w:r>
              <w:rPr>
                <w:i w:val="0"/>
                <w:color w:val="1A1A1A"/>
                <w:sz w:val="18"/>
              </w:rPr>
              <w:t>— automated</w:t>
            </w:r>
          </w:p>
        </w:tc>
      </w:tr>
    </w:tbl>
    <w:p>
      <w:pPr>
        <w:spacing w:after="80"/>
      </w:pPr>
    </w:p>
    <w:p>
      <w:pPr>
        <w:spacing w:after="140"/>
      </w:pPr>
      <w:r>
        <w:rPr>
          <w:i w:val="0"/>
          <w:color w:val="1A1A1A"/>
          <w:sz w:val="21"/>
        </w:rPr>
        <w:t xml:space="preserve">Each course is held in the same version-controlled repository, and each has its own automated checks that must pass before a change is accepted: session arithmetic, execution of every notebook in order, the language and dependency rules, and the finished program running end to end. A further check runs across both courses and this document, confirming that every figure restated in more than one place still agrees. </w:t>
      </w:r>
      <w:r>
        <w:rPr>
          <w:b/>
          <w:i w:val="0"/>
          <w:color w:val="1A1A1A"/>
          <w:sz w:val="21"/>
        </w:rPr>
        <w:t>Nothing is reported as complete on the strength of inspection alone.</w:t>
      </w:r>
    </w:p>
    <w:p>
      <w:pPr>
        <w:pBdr>
          <w:bottom w:val="single" w:sz="6" w:space="4" w:color="1F3A5F"/>
        </w:pBdr>
      </w:pPr>
    </w:p>
    <w:p>
      <w:pPr>
        <w:spacing w:after="140"/>
      </w:pPr>
      <w:r>
        <w:rPr>
          <w:i w:val="0"/>
          <w:color w:val="5A5A5A"/>
          <w:sz w:val="18"/>
        </w:rPr>
        <w:t>Programme dossier v3.1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