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5F"/>
          <w:sz w:val="36"/>
        </w:rPr>
        <w:t>What has changed in the teacher training programme</w:t>
      </w:r>
    </w:p>
    <w:p>
      <w:pPr>
        <w:spacing w:after="200"/>
        <w:pBdr>
          <w:bottom w:val="single" w:sz="10" w:space="4" w:color="1F3A5F"/>
        </w:pBdr>
      </w:pPr>
      <w:r>
        <w:rPr>
          <w:color w:val="5A5A5A"/>
          <w:sz w:val="21"/>
        </w:rPr>
        <w:t>A summary of the changes made since Friday 2 October · prepared for Fast Foundation</w:t>
      </w:r>
    </w:p>
    <w:p>
      <w:pPr>
        <w:spacing w:after="140"/>
      </w:pPr>
      <w:r>
        <w:rPr>
          <w:i w:val="0"/>
          <w:color w:val="1A1A1A"/>
          <w:sz w:val="21"/>
        </w:rPr>
        <w:t xml:space="preserve">This is a programme that teaches school teachers to write computer programs, so that they can then teach the subject to their pupils. The changes since the version you were sent fall into four groups, below. </w:t>
      </w:r>
      <w:r>
        <w:rPr>
          <w:b/>
          <w:i w:val="0"/>
          <w:color w:val="1A1A1A"/>
          <w:sz w:val="21"/>
        </w:rPr>
        <w:t>Nothing has been cancelled or cut.</w:t>
      </w:r>
      <w:r>
        <w:rPr>
          <w:i w:val="0"/>
          <w:color w:val="1A1A1A"/>
          <w:sz w:val="21"/>
        </w:rPr>
        <w:t xml:space="preserve"> The programme is now longer, taught in smaller groups, measured far more carefully — and it now covers </w:t>
      </w:r>
      <w:r>
        <w:rPr>
          <w:b/>
          <w:i w:val="0"/>
          <w:color w:val="1A1A1A"/>
          <w:sz w:val="21"/>
        </w:rPr>
        <w:t>both school years, not one</w:t>
      </w:r>
      <w:r>
        <w:rPr>
          <w:i w:val="0"/>
          <w:color w:val="1A1A1A"/>
          <w:sz w:val="21"/>
        </w:rPr>
        <w:t>.</w:t>
      </w:r>
    </w:p>
    <w:p>
      <w:pPr>
        <w:pStyle w:val="Heading2"/>
      </w:pPr>
      <w:r>
        <w:t>There is now a second course, and it is finished</w:t>
      </w:r>
    </w:p>
    <w:p>
      <w:pPr>
        <w:spacing w:after="140"/>
      </w:pPr>
      <w:r>
        <w:rPr>
          <w:i w:val="0"/>
          <w:color w:val="1A1A1A"/>
          <w:sz w:val="21"/>
        </w:rPr>
        <w:t xml:space="preserve">The version you were sent prepared a teacher to teach </w:t>
      </w:r>
      <w:r>
        <w:rPr>
          <w:b/>
          <w:i w:val="0"/>
          <w:color w:val="1A1A1A"/>
          <w:sz w:val="21"/>
        </w:rPr>
        <w:t>one school year</w:t>
      </w:r>
      <w:r>
        <w:rPr>
          <w:i w:val="0"/>
          <w:color w:val="1A1A1A"/>
          <w:sz w:val="21"/>
        </w:rPr>
        <w:t xml:space="preserve">. Since then a </w:t>
      </w:r>
      <w:r>
        <w:rPr>
          <w:b/>
          <w:i w:val="0"/>
          <w:color w:val="1A1A1A"/>
          <w:sz w:val="21"/>
        </w:rPr>
        <w:t>second course has been written and checked</w:t>
      </w:r>
      <w:r>
        <w:rPr>
          <w:i w:val="0"/>
          <w:color w:val="1A1A1A"/>
          <w:sz w:val="21"/>
        </w:rPr>
        <w:t xml:space="preserve">, which prepares the same teacher to teach </w:t>
      </w:r>
      <w:r>
        <w:rPr>
          <w:b/>
          <w:i w:val="0"/>
          <w:color w:val="1A1A1A"/>
          <w:sz w:val="21"/>
        </w:rPr>
        <w:t>the following year</w:t>
      </w:r>
      <w:r>
        <w:rPr>
          <w:i w:val="0"/>
          <w:color w:val="1A1A1A"/>
          <w:sz w:val="21"/>
        </w:rPr>
        <w:t>. It is the same length and the same shape: nine weeks, two lessons a week, small groups, online.</w:t>
      </w:r>
    </w:p>
    <w:p>
      <w:pPr>
        <w:spacing w:after="140"/>
      </w:pPr>
      <w:r>
        <w:rPr>
          <w:b/>
          <w:i w:val="0"/>
          <w:color w:val="1A1A1A"/>
          <w:sz w:val="21"/>
        </w:rPr>
        <w:t>The enclosed document now describes both courses in the same detail</w:t>
      </w:r>
      <w:r>
        <w:rPr>
          <w:i w:val="0"/>
          <w:color w:val="1A1A1A"/>
          <w:sz w:val="21"/>
        </w:rPr>
        <w:t xml:space="preserve"> — each with its own curriculum, schedule, assessment and finished program. Earlier versions covered the first course in full and the second in a single page.</w:t>
      </w:r>
    </w:p>
    <w:tbl>
      <w:tblPr>
        <w:tblStyle w:val="TableGrid"/>
        <w:tblW w:type="auto" w:w="0"/>
        <w:jc w:val="center"/>
        <w:tblLayout w:type="fixed"/>
        <w:tblLook w:firstColumn="1" w:firstRow="1" w:lastColumn="0" w:lastRow="0" w:noHBand="0" w:noVBand="1" w:val="04A0"/>
      </w:tblPr>
      <w:tblGrid>
        <w:gridCol w:w="1882"/>
        <w:gridCol w:w="3106"/>
        <w:gridCol w:w="4423"/>
      </w:tblGrid>
      <w:tr>
        <w:trPr>
          <w:tblHeader w:val="true"/>
        </w:trPr>
        <w:tc>
          <w:tcPr>
            <w:tcW w:type="dxa" w:w="1882"/>
            <w:shd w:val="clear" w:fill="1F3A5F"/>
          </w:tcPr>
          <w:p>
            <w:pPr>
              <w:spacing w:after="40" w:before="40"/>
            </w:pPr>
            <w:r/>
            <w:r>
              <w:rPr>
                <w:b/>
                <w:color w:val="FFFFFF"/>
                <w:sz w:val="18"/>
              </w:rPr>
            </w:r>
          </w:p>
        </w:tc>
        <w:tc>
          <w:tcPr>
            <w:tcW w:type="dxa" w:w="3106"/>
            <w:shd w:val="clear" w:fill="1F3A5F"/>
          </w:tcPr>
          <w:p>
            <w:pPr>
              <w:spacing w:after="40" w:before="40"/>
            </w:pPr>
            <w:r/>
            <w:r>
              <w:rPr>
                <w:b/>
                <w:color w:val="FFFFFF"/>
                <w:sz w:val="18"/>
              </w:rPr>
              <w:t>First course</w:t>
            </w:r>
          </w:p>
        </w:tc>
        <w:tc>
          <w:tcPr>
            <w:tcW w:type="dxa" w:w="4423"/>
            <w:shd w:val="clear" w:fill="1F3A5F"/>
          </w:tcPr>
          <w:p>
            <w:pPr>
              <w:spacing w:after="40" w:before="40"/>
            </w:pPr>
            <w:r/>
            <w:r>
              <w:rPr>
                <w:b/>
                <w:color w:val="FFFFFF"/>
                <w:sz w:val="18"/>
              </w:rPr>
              <w:t>Second course</w:t>
            </w:r>
          </w:p>
        </w:tc>
      </w:tr>
      <w:tr>
        <w:tc>
          <w:tcPr>
            <w:tcW w:type="dxa" w:w="1882"/>
          </w:tcPr>
          <w:p>
            <w:pPr>
              <w:spacing w:after="40" w:before="40"/>
            </w:pPr>
            <w:r/>
            <w:r>
              <w:rPr>
                <w:b/>
                <w:i w:val="0"/>
                <w:color w:val="1A1A1A"/>
                <w:sz w:val="18"/>
              </w:rPr>
              <w:t>Prepares a teacher for</w:t>
            </w:r>
          </w:p>
        </w:tc>
        <w:tc>
          <w:tcPr>
            <w:tcW w:type="dxa" w:w="3106"/>
          </w:tcPr>
          <w:p>
            <w:pPr>
              <w:spacing w:after="40" w:before="40"/>
            </w:pPr>
            <w:r/>
            <w:r>
              <w:rPr>
                <w:i w:val="0"/>
                <w:color w:val="1A1A1A"/>
                <w:sz w:val="18"/>
              </w:rPr>
              <w:t>the first year of the subject</w:t>
            </w:r>
          </w:p>
        </w:tc>
        <w:tc>
          <w:tcPr>
            <w:tcW w:type="dxa" w:w="4423"/>
          </w:tcPr>
          <w:p>
            <w:pPr>
              <w:spacing w:after="40" w:before="40"/>
            </w:pPr>
            <w:r/>
            <w:r>
              <w:rPr>
                <w:b/>
                <w:i w:val="0"/>
                <w:color w:val="1A1A1A"/>
                <w:sz w:val="18"/>
              </w:rPr>
              <w:t>the second year</w:t>
            </w:r>
          </w:p>
        </w:tc>
      </w:tr>
      <w:tr>
        <w:tc>
          <w:tcPr>
            <w:tcW w:type="dxa" w:w="1882"/>
            <w:shd w:val="clear" w:fill="EEF2F7"/>
          </w:tcPr>
          <w:p>
            <w:pPr>
              <w:spacing w:after="40" w:before="40"/>
            </w:pPr>
            <w:r/>
            <w:r>
              <w:rPr>
                <w:b/>
                <w:i w:val="0"/>
                <w:color w:val="1A1A1A"/>
                <w:sz w:val="18"/>
              </w:rPr>
              <w:t>Who can join</w:t>
            </w:r>
          </w:p>
        </w:tc>
        <w:tc>
          <w:tcPr>
            <w:tcW w:type="dxa" w:w="3106"/>
            <w:shd w:val="clear" w:fill="EEF2F7"/>
          </w:tcPr>
          <w:p>
            <w:pPr>
              <w:spacing w:after="40" w:before="40"/>
            </w:pPr>
            <w:r/>
            <w:r>
              <w:rPr>
                <w:i w:val="0"/>
                <w:color w:val="1A1A1A"/>
                <w:sz w:val="18"/>
              </w:rPr>
              <w:t>anyone — it starts from installing the software</w:t>
            </w:r>
          </w:p>
        </w:tc>
        <w:tc>
          <w:tcPr>
            <w:tcW w:type="dxa" w:w="4423"/>
            <w:shd w:val="clear" w:fill="EEF2F7"/>
          </w:tcPr>
          <w:p>
            <w:pPr>
              <w:spacing w:after="40" w:before="40"/>
            </w:pPr>
            <w:r/>
            <w:r>
              <w:rPr>
                <w:b/>
                <w:i w:val="0"/>
                <w:color w:val="1A1A1A"/>
                <w:sz w:val="18"/>
              </w:rPr>
              <w:t>teachers who finished the first course</w:t>
            </w:r>
            <w:r>
              <w:rPr>
                <w:i w:val="0"/>
                <w:color w:val="1A1A1A"/>
                <w:sz w:val="18"/>
              </w:rPr>
              <w:t>, and nobody else</w:t>
            </w:r>
          </w:p>
        </w:tc>
      </w:tr>
      <w:tr>
        <w:tc>
          <w:tcPr>
            <w:tcW w:type="dxa" w:w="1882"/>
          </w:tcPr>
          <w:p>
            <w:pPr>
              <w:spacing w:after="40" w:before="40"/>
            </w:pPr>
            <w:r/>
            <w:r>
              <w:rPr>
                <w:b/>
                <w:i w:val="0"/>
                <w:color w:val="1A1A1A"/>
                <w:sz w:val="18"/>
              </w:rPr>
              <w:t>What they learn</w:t>
            </w:r>
          </w:p>
        </w:tc>
        <w:tc>
          <w:tcPr>
            <w:tcW w:type="dxa" w:w="3106"/>
          </w:tcPr>
          <w:p>
            <w:pPr>
              <w:spacing w:after="40" w:before="40"/>
            </w:pPr>
            <w:r/>
            <w:r>
              <w:rPr>
                <w:i w:val="0"/>
                <w:color w:val="1A1A1A"/>
                <w:sz w:val="18"/>
              </w:rPr>
              <w:t>the basics of writing a program</w:t>
            </w:r>
          </w:p>
        </w:tc>
        <w:tc>
          <w:tcPr>
            <w:tcW w:type="dxa" w:w="4423"/>
          </w:tcPr>
          <w:p>
            <w:pPr>
              <w:spacing w:after="40" w:before="40"/>
            </w:pPr>
            <w:r/>
            <w:r>
              <w:rPr>
                <w:b/>
                <w:i w:val="0"/>
                <w:color w:val="1A1A1A"/>
                <w:sz w:val="18"/>
              </w:rPr>
              <w:t>organising larger programs, and using professional tools to analyse real school data and draw charts from it</w:t>
            </w:r>
          </w:p>
        </w:tc>
      </w:tr>
      <w:tr>
        <w:tc>
          <w:tcPr>
            <w:tcW w:type="dxa" w:w="1882"/>
            <w:shd w:val="clear" w:fill="EEF2F7"/>
          </w:tcPr>
          <w:p>
            <w:pPr>
              <w:spacing w:after="40" w:before="40"/>
            </w:pPr>
            <w:r/>
            <w:r>
              <w:rPr>
                <w:b/>
                <w:i w:val="0"/>
                <w:color w:val="1A1A1A"/>
                <w:sz w:val="18"/>
              </w:rPr>
              <w:t>What they finish with</w:t>
            </w:r>
          </w:p>
        </w:tc>
        <w:tc>
          <w:tcPr>
            <w:tcW w:type="dxa" w:w="3106"/>
            <w:shd w:val="clear" w:fill="EEF2F7"/>
          </w:tcPr>
          <w:p>
            <w:pPr>
              <w:spacing w:after="40" w:before="40"/>
            </w:pPr>
            <w:r/>
            <w:r>
              <w:rPr>
                <w:i w:val="0"/>
                <w:color w:val="1A1A1A"/>
                <w:sz w:val="18"/>
              </w:rPr>
              <w:t>a program that handles their own class</w:t>
            </w:r>
          </w:p>
        </w:tc>
        <w:tc>
          <w:tcPr>
            <w:tcW w:type="dxa" w:w="4423"/>
            <w:shd w:val="clear" w:fill="EEF2F7"/>
          </w:tcPr>
          <w:p>
            <w:pPr>
              <w:spacing w:after="40" w:before="40"/>
            </w:pPr>
            <w:r/>
            <w:r>
              <w:rPr>
                <w:b/>
                <w:i w:val="0"/>
                <w:color w:val="1A1A1A"/>
                <w:sz w:val="18"/>
              </w:rPr>
              <w:t>a program that handles their whole school</w:t>
            </w:r>
            <w:r>
              <w:rPr>
                <w:i w:val="0"/>
                <w:color w:val="1A1A1A"/>
                <w:sz w:val="18"/>
              </w:rPr>
              <w:t xml:space="preserve"> and produces a report with charts</w:t>
            </w:r>
          </w:p>
        </w:tc>
      </w:tr>
      <w:tr>
        <w:tc>
          <w:tcPr>
            <w:tcW w:type="dxa" w:w="1882"/>
          </w:tcPr>
          <w:p>
            <w:pPr>
              <w:spacing w:after="40" w:before="40"/>
            </w:pPr>
            <w:r/>
            <w:r>
              <w:rPr>
                <w:b/>
                <w:i w:val="0"/>
                <w:color w:val="1A1A1A"/>
                <w:sz w:val="18"/>
              </w:rPr>
              <w:t>Is it ready</w:t>
            </w:r>
          </w:p>
        </w:tc>
        <w:tc>
          <w:tcPr>
            <w:tcW w:type="dxa" w:w="3106"/>
          </w:tcPr>
          <w:p>
            <w:pPr>
              <w:spacing w:after="40" w:before="40"/>
            </w:pPr>
            <w:r/>
            <w:r>
              <w:rPr>
                <w:i w:val="0"/>
                <w:color w:val="1A1A1A"/>
                <w:sz w:val="18"/>
              </w:rPr>
              <w:t>yes</w:t>
            </w:r>
          </w:p>
        </w:tc>
        <w:tc>
          <w:tcPr>
            <w:tcW w:type="dxa" w:w="4423"/>
          </w:tcPr>
          <w:p>
            <w:pPr>
              <w:spacing w:after="40" w:before="40"/>
            </w:pPr>
            <w:r/>
            <w:r>
              <w:rPr>
                <w:b/>
                <w:i w:val="0"/>
                <w:color w:val="1A1A1A"/>
                <w:sz w:val="18"/>
              </w:rPr>
              <w:t>yes</w:t>
            </w:r>
          </w:p>
        </w:tc>
      </w:tr>
    </w:tbl>
    <w:p>
      <w:pPr>
        <w:spacing w:after="80"/>
      </w:pPr>
    </w:p>
    <w:p>
      <w:pPr>
        <w:spacing w:after="140"/>
      </w:pPr>
      <w:r>
        <w:rPr>
          <w:b/>
          <w:i w:val="0"/>
          <w:color w:val="1A1A1A"/>
          <w:sz w:val="21"/>
        </w:rPr>
        <w:t>Together the two courses now cover almost the whole official school curriculum</w:t>
      </w:r>
      <w:r>
        <w:rPr>
          <w:i w:val="0"/>
          <w:color w:val="1A1A1A"/>
          <w:sz w:val="21"/>
        </w:rPr>
        <w:t xml:space="preserve"> — all of it except one topic, which has deliberately been left until the rest is secure. Sixty hours of teacher training covers a subject the ministry gives pupils one hundred and ninety-three hours to learn.</w:t>
      </w:r>
    </w:p>
    <w:p>
      <w:pPr>
        <w:spacing w:after="140"/>
      </w:pPr>
      <w:r>
        <w:rPr>
          <w:b/>
          <w:i w:val="0"/>
          <w:color w:val="1A1A1A"/>
          <w:sz w:val="21"/>
        </w:rPr>
        <w:t>Neither course has been taught to a group of teachers yet.</w:t>
      </w:r>
      <w:r>
        <w:rPr>
          <w:i w:val="0"/>
          <w:color w:val="1A1A1A"/>
          <w:sz w:val="21"/>
        </w:rPr>
        <w:t xml:space="preserve"> Both are written, checked and ready. That is the honest position.</w:t>
      </w:r>
    </w:p>
    <w:p>
      <w:pPr>
        <w:pStyle w:val="Heading2"/>
      </w:pPr>
      <w:r>
        <w:t>How the programme is organised</w:t>
      </w:r>
    </w:p>
    <w:tbl>
      <w:tblPr>
        <w:tblStyle w:val="TableGrid"/>
        <w:tblW w:type="auto" w:w="0"/>
        <w:jc w:val="center"/>
        <w:tblLayout w:type="fixed"/>
        <w:tblLook w:firstColumn="1" w:firstRow="1" w:lastColumn="0" w:lastRow="0" w:noHBand="0" w:noVBand="1" w:val="04A0"/>
      </w:tblPr>
      <w:tblGrid>
        <w:gridCol w:w="1035"/>
        <w:gridCol w:w="1600"/>
        <w:gridCol w:w="2447"/>
        <w:gridCol w:w="4329"/>
      </w:tblGrid>
      <w:tr>
        <w:trPr>
          <w:tblHeader w:val="true"/>
        </w:trPr>
        <w:tc>
          <w:tcPr>
            <w:tcW w:type="dxa" w:w="1035"/>
            <w:shd w:val="clear" w:fill="1F3A5F"/>
          </w:tcPr>
          <w:p>
            <w:pPr>
              <w:spacing w:after="40" w:before="40"/>
            </w:pPr>
            <w:r/>
            <w:r>
              <w:rPr>
                <w:b/>
                <w:color w:val="FFFFFF"/>
                <w:sz w:val="18"/>
              </w:rPr>
            </w:r>
          </w:p>
        </w:tc>
        <w:tc>
          <w:tcPr>
            <w:tcW w:type="dxa" w:w="1600"/>
            <w:shd w:val="clear" w:fill="1F3A5F"/>
          </w:tcPr>
          <w:p>
            <w:pPr>
              <w:spacing w:after="40" w:before="40"/>
            </w:pPr>
            <w:r/>
            <w:r>
              <w:rPr>
                <w:b/>
                <w:color w:val="FFFFFF"/>
                <w:sz w:val="18"/>
              </w:rPr>
              <w:t>Before</w:t>
            </w:r>
          </w:p>
        </w:tc>
        <w:tc>
          <w:tcPr>
            <w:tcW w:type="dxa" w:w="2447"/>
            <w:shd w:val="clear" w:fill="1F3A5F"/>
          </w:tcPr>
          <w:p>
            <w:pPr>
              <w:spacing w:after="40" w:before="40"/>
            </w:pPr>
            <w:r/>
            <w:r>
              <w:rPr>
                <w:b/>
                <w:color w:val="FFFFFF"/>
                <w:sz w:val="18"/>
              </w:rPr>
              <w:t>Now</w:t>
            </w:r>
          </w:p>
        </w:tc>
        <w:tc>
          <w:tcPr>
            <w:tcW w:type="dxa" w:w="4329"/>
            <w:shd w:val="clear" w:fill="1F3A5F"/>
          </w:tcPr>
          <w:p>
            <w:pPr>
              <w:spacing w:after="40" w:before="40"/>
            </w:pPr>
            <w:r/>
            <w:r>
              <w:rPr>
                <w:b/>
                <w:color w:val="FFFFFF"/>
                <w:sz w:val="18"/>
              </w:rPr>
              <w:t>Why</w:t>
            </w:r>
          </w:p>
        </w:tc>
      </w:tr>
      <w:tr>
        <w:tc>
          <w:tcPr>
            <w:tcW w:type="dxa" w:w="1035"/>
          </w:tcPr>
          <w:p>
            <w:pPr>
              <w:spacing w:after="40" w:before="40"/>
            </w:pPr>
            <w:r/>
            <w:r>
              <w:rPr>
                <w:b/>
                <w:i w:val="0"/>
                <w:color w:val="1A1A1A"/>
                <w:sz w:val="18"/>
              </w:rPr>
              <w:t>Shape</w:t>
            </w:r>
          </w:p>
        </w:tc>
        <w:tc>
          <w:tcPr>
            <w:tcW w:type="dxa" w:w="1600"/>
          </w:tcPr>
          <w:p>
            <w:pPr>
              <w:spacing w:after="40" w:before="40"/>
            </w:pPr>
            <w:r/>
            <w:r>
              <w:rPr>
                <w:i w:val="0"/>
                <w:color w:val="1A1A1A"/>
                <w:sz w:val="18"/>
              </w:rPr>
              <w:t>One course</w:t>
            </w:r>
          </w:p>
        </w:tc>
        <w:tc>
          <w:tcPr>
            <w:tcW w:type="dxa" w:w="2447"/>
          </w:tcPr>
          <w:p>
            <w:pPr>
              <w:spacing w:after="40" w:before="40"/>
            </w:pPr>
            <w:r/>
            <w:r>
              <w:rPr>
                <w:b/>
                <w:i w:val="0"/>
                <w:color w:val="1A1A1A"/>
                <w:sz w:val="18"/>
              </w:rPr>
              <w:t>Two courses, one per school year</w:t>
            </w:r>
          </w:p>
        </w:tc>
        <w:tc>
          <w:tcPr>
            <w:tcW w:type="dxa" w:w="4329"/>
          </w:tcPr>
          <w:p>
            <w:pPr>
              <w:spacing w:after="40" w:before="40"/>
            </w:pPr>
            <w:r/>
            <w:r>
              <w:rPr>
                <w:i w:val="0"/>
                <w:color w:val="1A1A1A"/>
                <w:sz w:val="18"/>
              </w:rPr>
              <w:t>Each one prepares a teacher for the year they will actually be teaching</w:t>
            </w:r>
          </w:p>
        </w:tc>
      </w:tr>
      <w:tr>
        <w:tc>
          <w:tcPr>
            <w:tcW w:type="dxa" w:w="1035"/>
            <w:shd w:val="clear" w:fill="EEF2F7"/>
          </w:tcPr>
          <w:p>
            <w:pPr>
              <w:spacing w:after="40" w:before="40"/>
            </w:pPr>
            <w:r/>
            <w:r>
              <w:rPr>
                <w:b/>
                <w:i w:val="0"/>
                <w:color w:val="1A1A1A"/>
                <w:sz w:val="18"/>
              </w:rPr>
              <w:t>Each course</w:t>
            </w:r>
          </w:p>
        </w:tc>
        <w:tc>
          <w:tcPr>
            <w:tcW w:type="dxa" w:w="1600"/>
            <w:shd w:val="clear" w:fill="EEF2F7"/>
          </w:tcPr>
          <w:p>
            <w:pPr>
              <w:spacing w:after="40" w:before="40"/>
            </w:pPr>
            <w:r/>
            <w:r>
              <w:rPr>
                <w:i w:val="0"/>
                <w:color w:val="1A1A1A"/>
                <w:sz w:val="18"/>
              </w:rPr>
              <w:t>—</w:t>
            </w:r>
          </w:p>
        </w:tc>
        <w:tc>
          <w:tcPr>
            <w:tcW w:type="dxa" w:w="2447"/>
            <w:shd w:val="clear" w:fill="EEF2F7"/>
          </w:tcPr>
          <w:p>
            <w:pPr>
              <w:spacing w:after="40" w:before="40"/>
            </w:pPr>
            <w:r/>
            <w:r>
              <w:rPr>
                <w:b/>
                <w:i w:val="0"/>
                <w:color w:val="1A1A1A"/>
                <w:sz w:val="18"/>
              </w:rPr>
              <w:t>A practical part of 2 months, then a thinking part of 4</w:t>
            </w:r>
          </w:p>
        </w:tc>
        <w:tc>
          <w:tcPr>
            <w:tcW w:type="dxa" w:w="4329"/>
            <w:shd w:val="clear" w:fill="EEF2F7"/>
          </w:tcPr>
          <w:p>
            <w:pPr>
              <w:spacing w:after="40" w:before="40"/>
            </w:pPr>
            <w:r/>
            <w:r>
              <w:rPr>
                <w:i w:val="0"/>
                <w:color w:val="1A1A1A"/>
                <w:sz w:val="18"/>
              </w:rPr>
              <w:t>The first part teaches teachers to write code. The second teaches them to solve problems with it. They are different skills, and the second only makes sense once the first is in place</w:t>
            </w:r>
          </w:p>
        </w:tc>
      </w:tr>
      <w:tr>
        <w:tc>
          <w:tcPr>
            <w:tcW w:type="dxa" w:w="1035"/>
          </w:tcPr>
          <w:p>
            <w:pPr>
              <w:spacing w:after="40" w:before="40"/>
            </w:pPr>
            <w:r/>
            <w:r>
              <w:rPr>
                <w:b/>
                <w:i w:val="0"/>
                <w:color w:val="1A1A1A"/>
                <w:sz w:val="18"/>
              </w:rPr>
              <w:t>Lessons</w:t>
            </w:r>
          </w:p>
        </w:tc>
        <w:tc>
          <w:tcPr>
            <w:tcW w:type="dxa" w:w="1600"/>
          </w:tcPr>
          <w:p>
            <w:pPr>
              <w:spacing w:after="40" w:before="40"/>
            </w:pPr>
            <w:r/>
            <w:r>
              <w:rPr>
                <w:i w:val="0"/>
                <w:color w:val="1A1A1A"/>
                <w:sz w:val="18"/>
              </w:rPr>
              <w:t>50 minutes, three a week, 20 hours in total</w:t>
            </w:r>
          </w:p>
        </w:tc>
        <w:tc>
          <w:tcPr>
            <w:tcW w:type="dxa" w:w="2447"/>
          </w:tcPr>
          <w:p>
            <w:pPr>
              <w:spacing w:after="40" w:before="40"/>
            </w:pPr>
            <w:r/>
            <w:r>
              <w:rPr>
                <w:b/>
                <w:i w:val="0"/>
                <w:color w:val="1A1A1A"/>
                <w:sz w:val="18"/>
              </w:rPr>
              <w:t>75 minutes, twice a week — 18 sessions, 22½ hours in total</w:t>
            </w:r>
          </w:p>
        </w:tc>
        <w:tc>
          <w:tcPr>
            <w:tcW w:type="dxa" w:w="4329"/>
          </w:tcPr>
          <w:p>
            <w:pPr>
              <w:spacing w:after="40" w:before="40"/>
            </w:pPr>
            <w:r/>
            <w:r>
              <w:rPr>
                <w:i w:val="0"/>
                <w:color w:val="1A1A1A"/>
                <w:sz w:val="18"/>
              </w:rPr>
              <w:t>Two evenings a week instead of three, which is what teachers asked for. The practice that no longer fits in the room is set as homework — and every piece of it is a task the materials already contained</w:t>
            </w:r>
          </w:p>
        </w:tc>
      </w:tr>
      <w:tr>
        <w:tc>
          <w:tcPr>
            <w:tcW w:type="dxa" w:w="1035"/>
            <w:shd w:val="clear" w:fill="EEF2F7"/>
          </w:tcPr>
          <w:p>
            <w:pPr>
              <w:spacing w:after="40" w:before="40"/>
            </w:pPr>
            <w:r/>
            <w:r>
              <w:rPr>
                <w:b/>
                <w:i w:val="0"/>
                <w:color w:val="1A1A1A"/>
                <w:sz w:val="18"/>
              </w:rPr>
              <w:t>Class size</w:t>
            </w:r>
          </w:p>
        </w:tc>
        <w:tc>
          <w:tcPr>
            <w:tcW w:type="dxa" w:w="1600"/>
            <w:shd w:val="clear" w:fill="EEF2F7"/>
          </w:tcPr>
          <w:p>
            <w:pPr>
              <w:spacing w:after="40" w:before="40"/>
            </w:pPr>
            <w:r/>
            <w:r>
              <w:rPr>
                <w:i w:val="0"/>
                <w:color w:val="1A1A1A"/>
                <w:sz w:val="18"/>
              </w:rPr>
              <w:t>Up to 16 teachers</w:t>
            </w:r>
          </w:p>
        </w:tc>
        <w:tc>
          <w:tcPr>
            <w:tcW w:type="dxa" w:w="2447"/>
            <w:shd w:val="clear" w:fill="EEF2F7"/>
          </w:tcPr>
          <w:p>
            <w:pPr>
              <w:spacing w:after="40" w:before="40"/>
            </w:pPr>
            <w:r/>
            <w:r>
              <w:rPr>
                <w:b/>
                <w:i w:val="0"/>
                <w:color w:val="1A1A1A"/>
                <w:sz w:val="18"/>
              </w:rPr>
              <w:t>4 to 8 teachers</w:t>
            </w:r>
          </w:p>
        </w:tc>
        <w:tc>
          <w:tcPr>
            <w:tcW w:type="dxa" w:w="4329"/>
            <w:shd w:val="clear" w:fill="EEF2F7"/>
          </w:tcPr>
          <w:p>
            <w:pPr>
              <w:spacing w:after="40" w:before="40"/>
            </w:pPr>
            <w:r/>
            <w:r>
              <w:rPr>
                <w:i w:val="0"/>
                <w:color w:val="1A1A1A"/>
                <w:sz w:val="18"/>
              </w:rPr>
              <w:t>Fewer than four and they cannot discuss anything with each other. More than eight and the trainer cannot keep an eye on everyone</w:t>
            </w:r>
          </w:p>
        </w:tc>
      </w:tr>
      <w:tr>
        <w:tc>
          <w:tcPr>
            <w:tcW w:type="dxa" w:w="1035"/>
          </w:tcPr>
          <w:p>
            <w:pPr>
              <w:spacing w:after="40" w:before="40"/>
            </w:pPr>
            <w:r/>
            <w:r>
              <w:rPr>
                <w:b/>
                <w:i w:val="0"/>
                <w:color w:val="1A1A1A"/>
                <w:sz w:val="18"/>
              </w:rPr>
              <w:t>Where</w:t>
            </w:r>
          </w:p>
        </w:tc>
        <w:tc>
          <w:tcPr>
            <w:tcW w:type="dxa" w:w="1600"/>
          </w:tcPr>
          <w:p>
            <w:pPr>
              <w:spacing w:after="40" w:before="40"/>
            </w:pPr>
            <w:r/>
            <w:r>
              <w:rPr>
                <w:i w:val="0"/>
                <w:color w:val="1A1A1A"/>
                <w:sz w:val="18"/>
              </w:rPr>
              <w:t>In a classroom</w:t>
            </w:r>
          </w:p>
        </w:tc>
        <w:tc>
          <w:tcPr>
            <w:tcW w:type="dxa" w:w="2447"/>
          </w:tcPr>
          <w:p>
            <w:pPr>
              <w:spacing w:after="40" w:before="40"/>
            </w:pPr>
            <w:r/>
            <w:r>
              <w:rPr>
                <w:b/>
                <w:i w:val="0"/>
                <w:color w:val="1A1A1A"/>
                <w:sz w:val="18"/>
              </w:rPr>
              <w:t>Fully online</w:t>
            </w:r>
            <w:r>
              <w:rPr>
                <w:i w:val="0"/>
                <w:color w:val="1A1A1A"/>
                <w:sz w:val="18"/>
              </w:rPr>
              <w:t>, by video call</w:t>
            </w:r>
          </w:p>
        </w:tc>
        <w:tc>
          <w:tcPr>
            <w:tcW w:type="dxa" w:w="4329"/>
          </w:tcPr>
          <w:p>
            <w:pPr>
              <w:spacing w:after="40" w:before="40"/>
            </w:pPr>
            <w:r/>
            <w:r>
              <w:rPr>
                <w:i w:val="0"/>
                <w:color w:val="1A1A1A"/>
                <w:sz w:val="18"/>
              </w:rPr>
              <w:t>Every session in both courses, without exception. Teachers join from home or school. This removes some problems and creates others, both described in the full document</w:t>
            </w:r>
          </w:p>
        </w:tc>
      </w:tr>
    </w:tbl>
    <w:p>
      <w:pPr>
        <w:spacing w:after="80"/>
      </w:pPr>
    </w:p>
    <w:p>
      <w:pPr>
        <w:pStyle w:val="Heading2"/>
      </w:pPr>
      <w:r>
        <w:t>Homework — this is new, and teachers are told before they enrol</w:t>
      </w:r>
    </w:p>
    <w:p>
      <w:pPr>
        <w:spacing w:after="140"/>
      </w:pPr>
      <w:r>
        <w:rPr>
          <w:i w:val="0"/>
          <w:color w:val="1A1A1A"/>
          <w:sz w:val="21"/>
        </w:rPr>
        <w:t xml:space="preserve">Two evenings a week instead of three means less time together: </w:t>
      </w:r>
      <w:r>
        <w:rPr>
          <w:b/>
          <w:i w:val="0"/>
          <w:color w:val="1A1A1A"/>
          <w:sz w:val="21"/>
        </w:rPr>
        <w:t>22½ hours in the room, against 30 on the original plan</w:t>
      </w:r>
      <w:r>
        <w:rPr>
          <w:i w:val="0"/>
          <w:color w:val="1A1A1A"/>
          <w:sz w:val="21"/>
        </w:rPr>
        <w:t>. Nothing was removed from the course. What no longer fits is done at home.</w:t>
      </w:r>
    </w:p>
    <w:tbl>
      <w:tblPr>
        <w:tblStyle w:val="TableGrid"/>
        <w:tblW w:type="auto" w:w="0"/>
        <w:jc w:val="center"/>
        <w:tblLayout w:type="fixed"/>
        <w:tblLook w:firstColumn="1" w:firstRow="1" w:lastColumn="0" w:lastRow="0" w:noHBand="0" w:noVBand="1" w:val="04A0"/>
      </w:tblPr>
      <w:tblGrid>
        <w:gridCol w:w="3576"/>
        <w:gridCol w:w="3576"/>
        <w:gridCol w:w="2259"/>
      </w:tblGrid>
      <w:tr>
        <w:trPr>
          <w:tblHeader w:val="true"/>
        </w:trPr>
        <w:tc>
          <w:tcPr>
            <w:tcW w:type="dxa" w:w="3576"/>
            <w:shd w:val="clear" w:fill="1F3A5F"/>
          </w:tcPr>
          <w:p>
            <w:pPr>
              <w:spacing w:after="40" w:before="40"/>
            </w:pPr>
            <w:r/>
            <w:r>
              <w:rPr>
                <w:b/>
                <w:color w:val="FFFFFF"/>
                <w:sz w:val="18"/>
              </w:rPr>
              <w:t>After a session that covered…</w:t>
            </w:r>
          </w:p>
        </w:tc>
        <w:tc>
          <w:tcPr>
            <w:tcW w:type="dxa" w:w="3576"/>
            <w:shd w:val="clear" w:fill="1F3A5F"/>
          </w:tcPr>
          <w:p>
            <w:pPr>
              <w:spacing w:after="40" w:before="40"/>
            </w:pPr>
            <w:r/>
            <w:r>
              <w:rPr>
                <w:b/>
                <w:color w:val="FFFFFF"/>
                <w:sz w:val="18"/>
              </w:rPr>
              <w:t>What is done at home</w:t>
            </w:r>
          </w:p>
        </w:tc>
        <w:tc>
          <w:tcPr>
            <w:tcW w:type="dxa" w:w="2259"/>
            <w:shd w:val="clear" w:fill="1F3A5F"/>
          </w:tcPr>
          <w:p>
            <w:pPr>
              <w:spacing w:after="40" w:before="40"/>
            </w:pPr>
            <w:r/>
            <w:r>
              <w:rPr>
                <w:b/>
                <w:color w:val="FFFFFF"/>
                <w:sz w:val="18"/>
              </w:rPr>
              <w:t>How long</w:t>
            </w:r>
          </w:p>
        </w:tc>
      </w:tr>
      <w:tr>
        <w:tc>
          <w:tcPr>
            <w:tcW w:type="dxa" w:w="3576"/>
          </w:tcPr>
          <w:p>
            <w:pPr>
              <w:spacing w:after="40" w:before="40"/>
            </w:pPr>
            <w:r/>
            <w:r>
              <w:rPr>
                <w:i w:val="0"/>
                <w:color w:val="1A1A1A"/>
                <w:sz w:val="18"/>
              </w:rPr>
              <w:t xml:space="preserve">one topic </w:t>
            </w:r>
            <w:r>
              <w:rPr>
                <w:i/>
                <w:color w:val="1A1A1A"/>
                <w:sz w:val="18"/>
              </w:rPr>
              <w:t>(twelve of the eighteen)</w:t>
            </w:r>
          </w:p>
        </w:tc>
        <w:tc>
          <w:tcPr>
            <w:tcW w:type="dxa" w:w="3576"/>
          </w:tcPr>
          <w:p>
            <w:pPr>
              <w:spacing w:after="40" w:before="40"/>
            </w:pPr>
            <w:r/>
            <w:r>
              <w:rPr>
                <w:i w:val="0"/>
                <w:color w:val="1A1A1A"/>
                <w:sz w:val="18"/>
              </w:rPr>
              <w:t>the extra questions</w:t>
            </w:r>
          </w:p>
        </w:tc>
        <w:tc>
          <w:tcPr>
            <w:tcW w:type="dxa" w:w="2259"/>
          </w:tcPr>
          <w:p>
            <w:pPr>
              <w:spacing w:after="40" w:before="40"/>
            </w:pPr>
            <w:r/>
            <w:r>
              <w:rPr>
                <w:b/>
                <w:i w:val="0"/>
                <w:color w:val="1A1A1A"/>
                <w:sz w:val="18"/>
              </w:rPr>
              <w:t>15–20 minutes</w:t>
            </w:r>
          </w:p>
        </w:tc>
      </w:tr>
      <w:tr>
        <w:tc>
          <w:tcPr>
            <w:tcW w:type="dxa" w:w="3576"/>
            <w:shd w:val="clear" w:fill="EEF2F7"/>
          </w:tcPr>
          <w:p>
            <w:pPr>
              <w:spacing w:after="40" w:before="40"/>
            </w:pPr>
            <w:r/>
            <w:r>
              <w:rPr>
                <w:i w:val="0"/>
                <w:color w:val="1A1A1A"/>
                <w:sz w:val="18"/>
              </w:rPr>
              <w:t xml:space="preserve">two topics </w:t>
            </w:r>
            <w:r>
              <w:rPr>
                <w:i/>
                <w:color w:val="1A1A1A"/>
                <w:sz w:val="18"/>
              </w:rPr>
              <w:t>(six of the eighteen)</w:t>
            </w:r>
          </w:p>
        </w:tc>
        <w:tc>
          <w:tcPr>
            <w:tcW w:type="dxa" w:w="3576"/>
            <w:shd w:val="clear" w:fill="EEF2F7"/>
          </w:tcPr>
          <w:p>
            <w:pPr>
              <w:spacing w:after="40" w:before="40"/>
            </w:pPr>
            <w:r/>
            <w:r>
              <w:rPr>
                <w:i w:val="0"/>
                <w:color w:val="1A1A1A"/>
                <w:sz w:val="18"/>
              </w:rPr>
              <w:t>the main questions for both</w:t>
            </w:r>
          </w:p>
        </w:tc>
        <w:tc>
          <w:tcPr>
            <w:tcW w:type="dxa" w:w="2259"/>
            <w:shd w:val="clear" w:fill="EEF2F7"/>
          </w:tcPr>
          <w:p>
            <w:pPr>
              <w:spacing w:after="40" w:before="40"/>
            </w:pPr>
            <w:r/>
            <w:r>
              <w:rPr>
                <w:b/>
                <w:i w:val="0"/>
                <w:color w:val="1A1A1A"/>
                <w:sz w:val="18"/>
              </w:rPr>
              <w:t>30–40 minutes</w:t>
            </w:r>
          </w:p>
        </w:tc>
      </w:tr>
      <w:tr>
        <w:tc>
          <w:tcPr>
            <w:tcW w:type="dxa" w:w="3576"/>
          </w:tcPr>
          <w:p>
            <w:pPr>
              <w:spacing w:after="40" w:before="40"/>
            </w:pPr>
            <w:r/>
            <w:r>
              <w:rPr>
                <w:i w:val="0"/>
                <w:color w:val="1A1A1A"/>
                <w:sz w:val="18"/>
              </w:rPr>
              <w:t>the two practical build sessions</w:t>
            </w:r>
          </w:p>
        </w:tc>
        <w:tc>
          <w:tcPr>
            <w:tcW w:type="dxa" w:w="3576"/>
          </w:tcPr>
          <w:p>
            <w:pPr>
              <w:spacing w:after="40" w:before="40"/>
            </w:pPr>
            <w:r/>
            <w:r>
              <w:rPr>
                <w:i w:val="0"/>
                <w:color w:val="1A1A1A"/>
                <w:sz w:val="18"/>
              </w:rPr>
              <w:t>nothing</w:t>
            </w:r>
          </w:p>
        </w:tc>
        <w:tc>
          <w:tcPr>
            <w:tcW w:type="dxa" w:w="2259"/>
          </w:tcPr>
          <w:p>
            <w:pPr>
              <w:spacing w:after="40" w:before="40"/>
            </w:pPr>
            <w:r/>
            <w:r>
              <w:rPr>
                <w:i w:val="0"/>
                <w:color w:val="1A1A1A"/>
                <w:sz w:val="18"/>
              </w:rPr>
              <w:t>—</w:t>
            </w:r>
          </w:p>
        </w:tc>
      </w:tr>
    </w:tbl>
    <w:p>
      <w:pPr>
        <w:spacing w:after="80"/>
      </w:pPr>
    </w:p>
    <w:p>
      <w:pPr>
        <w:spacing w:after="140"/>
      </w:pPr>
      <w:r>
        <w:rPr>
          <w:b/>
          <w:i w:val="0"/>
          <w:color w:val="1A1A1A"/>
          <w:sz w:val="21"/>
        </w:rPr>
        <w:t>Nothing new is ever set at home.</w:t>
      </w:r>
      <w:r>
        <w:rPr>
          <w:i w:val="0"/>
          <w:color w:val="1A1A1A"/>
          <w:sz w:val="21"/>
        </w:rPr>
        <w:t xml:space="preserve"> Every question is already printed in the same workbook the session used, in the same form as the questions done together, and the next session begins by going through them. </w:t>
      </w:r>
      <w:r>
        <w:rPr>
          <w:b/>
          <w:i w:val="0"/>
          <w:color w:val="1A1A1A"/>
          <w:sz w:val="21"/>
        </w:rPr>
        <w:t>Teachers are told this before they agree to join</w:t>
      </w:r>
      <w:r>
        <w:rPr>
          <w:i w:val="0"/>
          <w:color w:val="1A1A1A"/>
          <w:sz w:val="21"/>
        </w:rPr>
        <w:t>, not after they have started.</w:t>
      </w:r>
    </w:p>
    <w:p>
      <w:pPr>
        <w:pStyle w:val="Heading2"/>
      </w:pPr>
      <w:r>
        <w:t>How we will know whether it worked</w:t>
      </w:r>
    </w:p>
    <w:p>
      <w:pPr>
        <w:spacing w:after="140"/>
      </w:pPr>
      <w:r>
        <w:rPr>
          <w:i w:val="0"/>
          <w:color w:val="1A1A1A"/>
          <w:sz w:val="20"/>
        </w:rPr>
        <w:t>This is the part that changed most, and it is the part worth your attention. The earlier version could not actually say what success would look like.</w:t>
      </w:r>
    </w:p>
    <w:tbl>
      <w:tblPr>
        <w:tblStyle w:val="TableGrid"/>
        <w:tblW w:type="auto" w:w="0"/>
        <w:jc w:val="center"/>
        <w:tblLayout w:type="fixed"/>
        <w:tblLook w:firstColumn="1" w:firstRow="1" w:lastColumn="0" w:lastRow="0" w:noHBand="0" w:noVBand="1" w:val="04A0"/>
      </w:tblPr>
      <w:tblGrid>
        <w:gridCol w:w="2447"/>
        <w:gridCol w:w="6964"/>
      </w:tblGrid>
      <w:tr>
        <w:tc>
          <w:tcPr>
            <w:tcW w:type="dxa" w:w="2447"/>
          </w:tcPr>
          <w:p>
            <w:pPr>
              <w:spacing w:after="40" w:before="40"/>
            </w:pPr>
            <w:r/>
            <w:r>
              <w:rPr>
                <w:b/>
                <w:i w:val="0"/>
                <w:color w:val="1A1A1A"/>
                <w:sz w:val="18"/>
              </w:rPr>
              <w:t>A clear pass mark for the programme</w:t>
            </w:r>
          </w:p>
        </w:tc>
        <w:tc>
          <w:tcPr>
            <w:tcW w:type="dxa" w:w="6964"/>
          </w:tcPr>
          <w:p>
            <w:pPr>
              <w:spacing w:after="40" w:before="40"/>
            </w:pPr>
            <w:r/>
            <w:r>
              <w:rPr>
                <w:i w:val="0"/>
                <w:color w:val="1A1A1A"/>
                <w:sz w:val="18"/>
              </w:rPr>
              <w:t xml:space="preserve">If </w:t>
            </w:r>
            <w:r>
              <w:rPr>
                <w:b/>
                <w:i w:val="0"/>
                <w:color w:val="1A1A1A"/>
                <w:sz w:val="18"/>
              </w:rPr>
              <w:t>more than 90%</w:t>
            </w:r>
            <w:r>
              <w:rPr>
                <w:i w:val="0"/>
                <w:color w:val="1A1A1A"/>
                <w:sz w:val="18"/>
              </w:rPr>
              <w:t xml:space="preserve"> of teachers can write working programs by the end, the approach worked and we continue. If </w:t>
            </w:r>
            <w:r>
              <w:rPr>
                <w:b/>
                <w:i w:val="0"/>
                <w:color w:val="1A1A1A"/>
                <w:sz w:val="18"/>
              </w:rPr>
              <w:t>fewer than half</w:t>
            </w:r>
            <w:r>
              <w:rPr>
                <w:i w:val="0"/>
                <w:color w:val="1A1A1A"/>
                <w:sz w:val="18"/>
              </w:rPr>
              <w:t xml:space="preserve"> can, it did not, and we go back to the old way of teaching. Anything in between means we adjust and try once more. </w:t>
            </w:r>
            <w:r>
              <w:rPr>
                <w:b/>
                <w:i w:val="0"/>
                <w:color w:val="1A1A1A"/>
                <w:sz w:val="18"/>
              </w:rPr>
              <w:t>These numbers are agreed now, before we start</w:t>
            </w:r>
            <w:r>
              <w:rPr>
                <w:i w:val="0"/>
                <w:color w:val="1A1A1A"/>
                <w:sz w:val="18"/>
              </w:rPr>
              <w:t>, so the result cannot be argued about afterwards</w:t>
            </w:r>
          </w:p>
        </w:tc>
      </w:tr>
      <w:tr>
        <w:tc>
          <w:tcPr>
            <w:tcW w:type="dxa" w:w="2447"/>
            <w:shd w:val="clear" w:fill="EEF2F7"/>
          </w:tcPr>
          <w:p>
            <w:pPr>
              <w:spacing w:after="40" w:before="40"/>
            </w:pPr>
            <w:r/>
            <w:r>
              <w:rPr>
                <w:b/>
                <w:i w:val="0"/>
                <w:color w:val="1A1A1A"/>
                <w:sz w:val="18"/>
              </w:rPr>
              <w:t>A test before the course begins</w:t>
            </w:r>
          </w:p>
        </w:tc>
        <w:tc>
          <w:tcPr>
            <w:tcW w:type="dxa" w:w="6964"/>
            <w:shd w:val="clear" w:fill="EEF2F7"/>
          </w:tcPr>
          <w:p>
            <w:pPr>
              <w:spacing w:after="40" w:before="40"/>
            </w:pPr>
            <w:r/>
            <w:r>
              <w:rPr>
                <w:i w:val="0"/>
                <w:color w:val="1A1A1A"/>
                <w:sz w:val="18"/>
              </w:rPr>
              <w:t xml:space="preserve">Teachers sit a short assessment on day one, before being taught anything. Nobody can fail it. It tells us where each teacher is starting from — so at the end we can report </w:t>
            </w:r>
            <w:r>
              <w:rPr>
                <w:b/>
                <w:i w:val="0"/>
                <w:color w:val="1A1A1A"/>
                <w:sz w:val="18"/>
              </w:rPr>
              <w:t>how much they improved</w:t>
            </w:r>
            <w:r>
              <w:rPr>
                <w:i w:val="0"/>
                <w:color w:val="1A1A1A"/>
                <w:sz w:val="18"/>
              </w:rPr>
              <w:t>, not just where they ended up</w:t>
            </w:r>
          </w:p>
        </w:tc>
      </w:tr>
      <w:tr>
        <w:tc>
          <w:tcPr>
            <w:tcW w:type="dxa" w:w="2447"/>
          </w:tcPr>
          <w:p>
            <w:pPr>
              <w:spacing w:after="40" w:before="40"/>
            </w:pPr>
            <w:r/>
            <w:r>
              <w:rPr>
                <w:b/>
                <w:i w:val="0"/>
                <w:color w:val="1A1A1A"/>
                <w:sz w:val="18"/>
              </w:rPr>
              <w:t>Teaching a real class in March</w:t>
            </w:r>
          </w:p>
        </w:tc>
        <w:tc>
          <w:tcPr>
            <w:tcW w:type="dxa" w:w="6964"/>
          </w:tcPr>
          <w:p>
            <w:pPr>
              <w:spacing w:after="40" w:before="40"/>
            </w:pPr>
            <w:r/>
            <w:r>
              <w:rPr>
                <w:i w:val="0"/>
                <w:color w:val="1A1A1A"/>
                <w:sz w:val="18"/>
              </w:rPr>
              <w:t xml:space="preserve">After the first part, every teacher teaches one lesson to real pupils. This answers a question no written test can: being able to write a program and being able to </w:t>
            </w:r>
            <w:r>
              <w:rPr>
                <w:b/>
                <w:i w:val="0"/>
                <w:color w:val="1A1A1A"/>
                <w:sz w:val="18"/>
              </w:rPr>
              <w:t>teach</w:t>
            </w:r>
            <w:r>
              <w:rPr>
                <w:i w:val="0"/>
                <w:color w:val="1A1A1A"/>
                <w:sz w:val="18"/>
              </w:rPr>
              <w:t xml:space="preserve"> it are different abilities, and a teacher who has one without the other would otherwise go unnoticed</w:t>
            </w:r>
          </w:p>
        </w:tc>
      </w:tr>
      <w:tr>
        <w:tc>
          <w:tcPr>
            <w:tcW w:type="dxa" w:w="2447"/>
            <w:shd w:val="clear" w:fill="EEF2F7"/>
          </w:tcPr>
          <w:p>
            <w:pPr>
              <w:spacing w:after="40" w:before="40"/>
            </w:pPr>
            <w:r/>
            <w:r>
              <w:rPr>
                <w:b/>
                <w:i w:val="0"/>
                <w:color w:val="1A1A1A"/>
                <w:sz w:val="18"/>
              </w:rPr>
              <w:t>Three proper exams instead of four homework tasks</w:t>
            </w:r>
          </w:p>
        </w:tc>
        <w:tc>
          <w:tcPr>
            <w:tcW w:type="dxa" w:w="6964"/>
            <w:shd w:val="clear" w:fill="EEF2F7"/>
          </w:tcPr>
          <w:p>
            <w:pPr>
              <w:spacing w:after="40" w:before="40"/>
            </w:pPr>
            <w:r/>
            <w:r>
              <w:rPr>
                <w:i w:val="0"/>
                <w:color w:val="1A1A1A"/>
                <w:sz w:val="18"/>
              </w:rPr>
              <w:t xml:space="preserve">Supervised and marked, each with three equivalent versions so that neighbours cannot copy. The last one decides who continues to the second part — and teachers are told this </w:t>
            </w:r>
            <w:r>
              <w:rPr>
                <w:b/>
                <w:i w:val="0"/>
                <w:color w:val="1A1A1A"/>
                <w:sz w:val="18"/>
              </w:rPr>
              <w:t>before</w:t>
            </w:r>
            <w:r>
              <w:rPr>
                <w:i w:val="0"/>
                <w:color w:val="1A1A1A"/>
                <w:sz w:val="18"/>
              </w:rPr>
              <w:t xml:space="preserve"> they enrol, not afterwards</w:t>
            </w:r>
          </w:p>
        </w:tc>
      </w:tr>
    </w:tbl>
    <w:p>
      <w:pPr>
        <w:spacing w:after="80"/>
      </w:pPr>
    </w:p>
    <w:p>
      <w:pPr>
        <w:pStyle w:val="Heading2"/>
      </w:pPr>
      <w:r>
        <w:t>Fitting the official school curriculum</w:t>
      </w:r>
    </w:p>
    <w:p>
      <w:pPr>
        <w:spacing w:after="140"/>
      </w:pPr>
      <w:r>
        <w:rPr>
          <w:i w:val="0"/>
          <w:color w:val="1A1A1A"/>
          <w:sz w:val="20"/>
        </w:rPr>
        <w:t xml:space="preserve">The programme has been checked against the state curriculum for Computer Science in Python, approved in September. Every one of its topics has been matched to the part of our programme that prepares teachers for it, and the few that were missing have been added or scheduled. </w:t>
      </w:r>
      <w:r>
        <w:rPr>
          <w:b/>
          <w:i w:val="0"/>
          <w:color w:val="1A1A1A"/>
          <w:sz w:val="20"/>
        </w:rPr>
        <w:t>A teacher finishing the first part will be ready to teach the whole of the first school year.</w:t>
      </w:r>
    </w:p>
    <w:p>
      <w:pPr>
        <w:pStyle w:val="Heading2"/>
      </w:pPr>
      <w:r>
        <w:t>What has not changed</w:t>
      </w:r>
    </w:p>
    <w:p>
      <w:pPr>
        <w:spacing w:after="140"/>
      </w:pPr>
      <w:r>
        <w:rPr>
          <w:i w:val="0"/>
          <w:color w:val="1A1A1A"/>
          <w:sz w:val="20"/>
        </w:rPr>
        <w:t>The reasoning behind the programme, and our honesty about its risks. We still say plainly that the approach may not work — it is possible to produce teachers who can type out programs and still cannot solve problems with them. We also still list the three things we have not yet been able to check: the Armenian wording has not been reviewed by a teacher, the setup instructions have not been tried on a clean computer, and nothing has been taught to a real group yet.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In one sentence</w:t>
            </w:r>
          </w:p>
          <w:p>
            <w:pPr>
              <w:spacing w:after="20"/>
            </w:pPr>
            <w:r>
              <w:rPr>
                <w:b/>
                <w:i w:val="0"/>
                <w:color w:val="1A1A1A"/>
                <w:sz w:val="20"/>
              </w:rPr>
              <w:t>The programme is now longer, taught in smaller groups online, split into two parts, and — most importantly — it now has an agreed definition of success that we committed to before starting.</w:t>
            </w:r>
          </w:p>
        </w:tc>
      </w:tr>
    </w:tbl>
    <w:p>
      <w:pPr>
        <w:spacing w:after="80"/>
      </w:pPr>
    </w:p>
    <w:p>
      <w:pPr>
        <w:spacing w:before="80"/>
        <w:pBdr>
          <w:bottom w:val="single" w:sz="6" w:space="4" w:color="1F3A5F"/>
        </w:pBdr>
      </w:pPr>
    </w:p>
    <w:p>
      <w:pPr>
        <w:spacing w:after="140"/>
      </w:pPr>
      <w:r>
        <w:rPr>
          <w:i w:val="0"/>
          <w:color w:val="5A5A5A"/>
          <w:sz w:val="17"/>
        </w:rPr>
        <w:t>Summary of changes to the programme document, version 1.1 → 3.2 · 13 October 2026. The full document accompanies this page if you would like the detail.</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