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18 sessions × 75 minutes = </w:t>
            </w:r>
            <w:r>
              <w:rPr>
                <w:b/>
                <w:i w:val="0"/>
                <w:color w:val="1A1A1A"/>
                <w:sz w:val="19"/>
              </w:rPr>
              <w:t>22½ hours</w:t>
            </w:r>
            <w:r>
              <w:rPr>
                <w:i w:val="0"/>
                <w:color w:val="1A1A1A"/>
                <w:sz w:val="19"/>
              </w:rPr>
              <w:t xml:space="preserve">, </w:t>
            </w:r>
            <w:r>
              <w:rPr>
                <w:b/>
                <w:i w:val="0"/>
                <w:color w:val="1A1A1A"/>
                <w:sz w:val="19"/>
              </w:rPr>
              <w:t>twice a week</w:t>
            </w:r>
            <w:r>
              <w:rPr>
                <w:i w:val="0"/>
                <w:color w:val="1A1A1A"/>
                <w:sz w:val="19"/>
              </w:rPr>
              <w:t xml:space="preserve"> over nine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Fully remote</w:t>
            </w:r>
            <w:r>
              <w:rPr>
                <w:i w:val="0"/>
                <w:color w:val="1A1A1A"/>
                <w:sz w:val="19"/>
              </w:rPr>
              <w:t>, over Google Meet with screen sharing. No session is held on site, in either course</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four-file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3.2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eighteen sessions of 75 minutes, twice a week for nine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18 sessions, twice a week over nine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twice a week — 18 × 75 = 22½ hours. </w:t>
            </w:r>
            <w:r>
              <w:rPr>
                <w:b/>
                <w:i w:val="0"/>
                <w:color w:val="1A1A1A"/>
                <w:sz w:val="20"/>
              </w:rPr>
              <w:t>This is the lowest contact time the programme has used</w:t>
            </w:r>
            <w:r>
              <w:rPr>
                <w:i w:val="0"/>
                <w:color w:val="1A1A1A"/>
                <w:sz w:val="20"/>
              </w:rPr>
              <w:t xml:space="preserve">, and the practice that no longer fits is set as homework — on the three sessions that cover two topics that means the </w:t>
            </w:r>
            <w:r>
              <w:rPr>
                <w:b/>
                <w:i w:val="0"/>
                <w:color w:val="1A1A1A"/>
                <w:sz w:val="20"/>
              </w:rPr>
              <w:t>Required</w:t>
            </w:r>
            <w:r>
              <w:rPr>
                <w:i w:val="0"/>
                <w:color w:val="1A1A1A"/>
                <w:sz w:val="20"/>
              </w:rPr>
              <w:t xml:space="preserve"> tier of both notebooks, 30–40 minutes, and the Extra tier is not asked for on top. Nothing new is ever introduced at home: every task is already in the notebook. Teachers are told this at enrolment, not in week three. It is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 — homework, and it is required</w:t>
      </w:r>
    </w:p>
    <w:p>
      <w:pPr>
        <w:spacing w:after="140"/>
      </w:pPr>
      <w:r>
        <w:rPr>
          <w:i w:val="0"/>
          <w:color w:val="1A1A1A"/>
          <w:sz w:val="21"/>
        </w:rPr>
        <w:t xml:space="preserve">Two sessions a week of 75 minutes is </w:t>
      </w:r>
      <w:r>
        <w:rPr>
          <w:b/>
          <w:i w:val="0"/>
          <w:color w:val="1A1A1A"/>
          <w:sz w:val="21"/>
        </w:rPr>
        <w:t>22½ hours in the room</w:t>
      </w:r>
      <w:r>
        <w:rPr>
          <w:i w:val="0"/>
          <w:color w:val="1A1A1A"/>
          <w:sz w:val="21"/>
        </w:rPr>
        <w:t xml:space="preserve">, against 30 on the original three-a-week plan. Nothing was removed from the course; what no longer fits is done at home, and </w:t>
      </w:r>
      <w:r>
        <w:rPr>
          <w:b/>
          <w:i w:val="0"/>
          <w:color w:val="1A1A1A"/>
          <w:sz w:val="21"/>
        </w:rPr>
        <w:t>it is required</w:t>
      </w:r>
      <w:r>
        <w:rPr>
          <w:i w:val="0"/>
          <w:color w:val="1A1A1A"/>
          <w:sz w:val="21"/>
        </w:rPr>
        <w:t xml:space="preserve"> rather than optional.</w:t>
      </w:r>
    </w:p>
    <w:tbl>
      <w:tblPr>
        <w:tblStyle w:val="TableGrid"/>
        <w:tblW w:type="auto" w:w="0"/>
        <w:jc w:val="center"/>
        <w:tblLayout w:type="fixed"/>
        <w:tblLook w:firstColumn="1" w:firstRow="1" w:lastColumn="0" w:lastRow="0" w:noHBand="0" w:noVBand="1" w:val="04A0"/>
      </w:tblPr>
      <w:tblGrid>
        <w:gridCol w:w="3388"/>
        <w:gridCol w:w="3764"/>
        <w:gridCol w:w="2259"/>
      </w:tblGrid>
      <w:tr>
        <w:trPr>
          <w:tblHeader w:val="true"/>
        </w:trPr>
        <w:tc>
          <w:tcPr>
            <w:tcW w:type="dxa" w:w="3388"/>
            <w:shd w:val="clear" w:fill="1F3A5F"/>
          </w:tcPr>
          <w:p>
            <w:pPr>
              <w:spacing w:after="40" w:before="40"/>
            </w:pPr>
            <w:r/>
            <w:r>
              <w:rPr>
                <w:b/>
                <w:color w:val="FFFFFF"/>
                <w:sz w:val="18"/>
              </w:rPr>
              <w:t>After a session covering…</w:t>
            </w:r>
          </w:p>
        </w:tc>
        <w:tc>
          <w:tcPr>
            <w:tcW w:type="dxa" w:w="3764"/>
            <w:shd w:val="clear" w:fill="1F3A5F"/>
          </w:tcPr>
          <w:p>
            <w:pPr>
              <w:spacing w:after="40" w:before="40"/>
            </w:pPr>
            <w:r/>
            <w:r>
              <w:rPr>
                <w:b/>
                <w:color w:val="FFFFFF"/>
                <w:sz w:val="18"/>
              </w:rPr>
              <w:t>What is done at home</w:t>
            </w:r>
          </w:p>
        </w:tc>
        <w:tc>
          <w:tcPr>
            <w:tcW w:type="dxa" w:w="2259"/>
            <w:shd w:val="clear" w:fill="1F3A5F"/>
          </w:tcPr>
          <w:p>
            <w:pPr>
              <w:spacing w:after="40" w:before="40"/>
            </w:pPr>
            <w:r/>
            <w:r>
              <w:rPr>
                <w:b/>
                <w:color w:val="FFFFFF"/>
                <w:sz w:val="18"/>
              </w:rPr>
              <w:t>How long</w:t>
            </w:r>
          </w:p>
        </w:tc>
      </w:tr>
      <w:tr>
        <w:tc>
          <w:tcPr>
            <w:tcW w:type="dxa" w:w="3388"/>
          </w:tcPr>
          <w:p>
            <w:pPr>
              <w:spacing w:after="40" w:before="40"/>
            </w:pPr>
            <w:r/>
            <w:r>
              <w:rPr>
                <w:i w:val="0"/>
                <w:color w:val="1A1A1A"/>
                <w:sz w:val="18"/>
              </w:rPr>
              <w:t>one topic — twelve of the eighteen</w:t>
            </w:r>
          </w:p>
        </w:tc>
        <w:tc>
          <w:tcPr>
            <w:tcW w:type="dxa" w:w="3764"/>
          </w:tcPr>
          <w:p>
            <w:pPr>
              <w:spacing w:after="40" w:before="40"/>
            </w:pPr>
            <w:r/>
            <w:r>
              <w:rPr>
                <w:i w:val="0"/>
                <w:color w:val="1A1A1A"/>
                <w:sz w:val="18"/>
              </w:rPr>
              <w:t>the extra questions</w:t>
            </w:r>
          </w:p>
        </w:tc>
        <w:tc>
          <w:tcPr>
            <w:tcW w:type="dxa" w:w="2259"/>
          </w:tcPr>
          <w:p>
            <w:pPr>
              <w:spacing w:after="40" w:before="40"/>
            </w:pPr>
            <w:r/>
            <w:r>
              <w:rPr>
                <w:b/>
                <w:i w:val="0"/>
                <w:color w:val="1A1A1A"/>
                <w:sz w:val="18"/>
              </w:rPr>
              <w:t>15–20 min</w:t>
            </w:r>
          </w:p>
        </w:tc>
      </w:tr>
      <w:tr>
        <w:tc>
          <w:tcPr>
            <w:tcW w:type="dxa" w:w="3388"/>
            <w:shd w:val="clear" w:fill="EEF2F7"/>
          </w:tcPr>
          <w:p>
            <w:pPr>
              <w:spacing w:after="40" w:before="40"/>
            </w:pPr>
            <w:r/>
            <w:r>
              <w:rPr>
                <w:i w:val="0"/>
                <w:color w:val="1A1A1A"/>
                <w:sz w:val="18"/>
              </w:rPr>
              <w:t>two topics — the remaining six</w:t>
            </w:r>
          </w:p>
        </w:tc>
        <w:tc>
          <w:tcPr>
            <w:tcW w:type="dxa" w:w="3764"/>
            <w:shd w:val="clear" w:fill="EEF2F7"/>
          </w:tcPr>
          <w:p>
            <w:pPr>
              <w:spacing w:after="40" w:before="40"/>
            </w:pPr>
            <w:r/>
            <w:r>
              <w:rPr>
                <w:i w:val="0"/>
                <w:color w:val="1A1A1A"/>
                <w:sz w:val="18"/>
              </w:rPr>
              <w:t>the main questions for both notebooks</w:t>
            </w:r>
          </w:p>
        </w:tc>
        <w:tc>
          <w:tcPr>
            <w:tcW w:type="dxa" w:w="2259"/>
            <w:shd w:val="clear" w:fill="EEF2F7"/>
          </w:tcPr>
          <w:p>
            <w:pPr>
              <w:spacing w:after="40" w:before="40"/>
            </w:pPr>
            <w:r/>
            <w:r>
              <w:rPr>
                <w:b/>
                <w:i w:val="0"/>
                <w:color w:val="1A1A1A"/>
                <w:sz w:val="18"/>
              </w:rPr>
              <w:t>30–40 min</w:t>
            </w:r>
          </w:p>
        </w:tc>
      </w:tr>
      <w:tr>
        <w:tc>
          <w:tcPr>
            <w:tcW w:type="dxa" w:w="3388"/>
          </w:tcPr>
          <w:p>
            <w:pPr>
              <w:spacing w:after="40" w:before="40"/>
            </w:pPr>
            <w:r/>
            <w:r>
              <w:rPr>
                <w:i w:val="0"/>
                <w:color w:val="1A1A1A"/>
                <w:sz w:val="18"/>
              </w:rPr>
              <w:t>the build and showcase sessions</w:t>
            </w:r>
          </w:p>
        </w:tc>
        <w:tc>
          <w:tcPr>
            <w:tcW w:type="dxa" w:w="3764"/>
          </w:tcPr>
          <w:p>
            <w:pPr>
              <w:spacing w:after="40" w:before="40"/>
            </w:pPr>
            <w:r/>
            <w:r>
              <w:rPr>
                <w:i w:val="0"/>
                <w:color w:val="1A1A1A"/>
                <w:sz w:val="18"/>
              </w:rPr>
              <w:t>nothing</w:t>
            </w:r>
          </w:p>
        </w:tc>
        <w:tc>
          <w:tcPr>
            <w:tcW w:type="dxa" w:w="2259"/>
          </w:tcPr>
          <w:p>
            <w:pPr>
              <w:spacing w:after="40" w:before="40"/>
            </w:pPr>
            <w:r/>
            <w:r>
              <w:rPr>
                <w:i w:val="0"/>
                <w:color w:val="1A1A1A"/>
                <w:sz w:val="18"/>
              </w:rPr>
              <w: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What homework is, and what it is not</w:t>
            </w:r>
          </w:p>
          <w:p>
            <w:pPr>
              <w:spacing w:after="20"/>
            </w:pPr>
            <w:r>
              <w:rPr>
                <w:b/>
                <w:i w:val="0"/>
                <w:color w:val="1A1A1A"/>
                <w:sz w:val="20"/>
              </w:rPr>
              <w:t>Every question is already printed in the notebook the session used</w:t>
            </w:r>
            <w:r>
              <w:rPr>
                <w:i w:val="0"/>
                <w:color w:val="1A1A1A"/>
                <w:sz w:val="20"/>
              </w:rPr>
              <w:t>, in the same three tiers and the same form as the work done together. Nothing new is ever introduced at home.</w:t>
            </w:r>
          </w:p>
          <w:p>
            <w:pPr>
              <w:spacing w:after="20"/>
            </w:pPr>
            <w:r>
              <w:rPr>
                <w:b/>
                <w:i w:val="0"/>
                <w:color w:val="1A1A1A"/>
                <w:sz w:val="20"/>
              </w:rPr>
              <w:t>The hardest tier is never set as homework.</w:t>
            </w:r>
            <w:r>
              <w:rPr>
                <w:i w:val="0"/>
                <w:color w:val="1A1A1A"/>
                <w:sz w:val="20"/>
              </w:rPr>
              <w:t xml:space="preserve"> Those questions exist for the fastest one or two in a room, and only in the room.</w:t>
            </w:r>
          </w:p>
          <w:p>
            <w:pPr>
              <w:spacing w:after="20"/>
            </w:pPr>
            <w:r>
              <w:rPr>
                <w:b/>
                <w:i w:val="0"/>
                <w:color w:val="1A1A1A"/>
                <w:sz w:val="20"/>
              </w:rPr>
              <w:t>Every session opens by going through the last one's homework</w:t>
            </w:r>
            <w:r>
              <w:rPr>
                <w:i w:val="0"/>
                <w:color w:val="1A1A1A"/>
                <w:sz w:val="20"/>
              </w:rPr>
              <w:t>, so it is checked rather than assumed — and a participant falling behind is visible in week two rather than week six.</w:t>
            </w:r>
          </w:p>
          <w:p>
            <w:pPr>
              <w:spacing w:after="20"/>
            </w:pPr>
            <w:r>
              <w:rPr>
                <w:b/>
                <w:i w:val="0"/>
                <w:color w:val="1A1A1A"/>
                <w:sz w:val="20"/>
              </w:rPr>
              <w:t>Teachers are told this before they enrol.</w:t>
            </w:r>
            <w:r>
              <w:rPr>
                <w:i w:val="0"/>
                <w:color w:val="1A1A1A"/>
                <w:sz w:val="20"/>
              </w:rPr>
              <w:t xml:space="preserve"> A course that asks for three evenings a week when it advertised two is how a cohort is lost.</w:t>
            </w:r>
          </w:p>
        </w:tc>
      </w:tr>
    </w:tbl>
    <w:p>
      <w:pPr>
        <w:spacing w:after="80"/>
      </w:pPr>
    </w:p>
    <w:p>
      <w:pPr>
        <w:spacing w:after="140"/>
      </w:pPr>
      <w:r>
        <w:rPr>
          <w:i w:val="0"/>
          <w:color w:val="1A1A1A"/>
          <w:sz w:val="21"/>
        </w:rPr>
        <w:t xml:space="preserve">The </w:t>
      </w:r>
      <w:r>
        <w:rPr>
          <w:b/>
          <w:i w:val="0"/>
          <w:color w:val="1A1A1A"/>
          <w:sz w:val="21"/>
        </w:rPr>
        <w:t>three assessments</w:t>
      </w:r>
      <w:r>
        <w:rPr>
          <w:i w:val="0"/>
          <w:color w:val="1A1A1A"/>
          <w:sz w:val="21"/>
        </w:rPr>
        <w:t xml:space="preserve"> are separate sittings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18 sessions of 75 minutes</w:t>
      </w:r>
      <w:r>
        <w:rPr>
          <w:i w:val="0"/>
          <w:color w:val="1A1A1A"/>
          <w:sz w:val="21"/>
        </w:rPr>
        <w:t xml:space="preserve">: a topic is one notebook and one idea, a session is 75 minutes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18</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18 teaching sessions remain 22½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10</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18</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22½ hours in the room,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Twenty-two and a half hours is not much</w:t>
            </w:r>
            <w:r>
              <w:rPr>
                <w:i w:val="0"/>
                <w:color w:val="1A1A1A"/>
                <w:sz w:val="18"/>
              </w:rPr>
              <w:t>, in 75-minute pieces, for working teachers — and more of the practice is now at home than on any earlier schedule</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nine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twelve of the eighteen sessions carry homework, and three of them set the Required tier of two notebooks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22½ hours in the room enough</w:t>
      </w:r>
      <w:r>
        <w:rPr>
          <w:i w:val="0"/>
          <w:color w:val="1A1A1A"/>
          <w:sz w:val="21"/>
        </w:rPr>
        <w:t xml:space="preserve"> — with the rest set as homework —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eighteen sessions of 75 minutes, twice a week for nine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four-file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18</w:t>
            </w:r>
          </w:p>
        </w:tc>
        <w:tc>
          <w:tcPr>
            <w:tcW w:type="dxa" w:w="3953"/>
            <w:shd w:val="clear" w:fill="EEF2F7"/>
          </w:tcPr>
          <w:p>
            <w:pPr>
              <w:spacing w:after="40" w:before="40"/>
            </w:pPr>
            <w:r/>
            <w:r>
              <w:rPr>
                <w:b/>
                <w:i w:val="0"/>
                <w:color w:val="1A1A1A"/>
                <w:sz w:val="19"/>
              </w:rPr>
              <w:t>7 of 18</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18 sessions of 75 minutes</w:t>
      </w:r>
      <w:r>
        <w:rPr>
          <w:i w:val="0"/>
          <w:color w:val="1A1A1A"/>
          <w:sz w:val="21"/>
        </w:rPr>
        <w:t xml:space="preserve">. Seven of the eighteen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nine weeks, eighteen sessions of 75 minutes, 22½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22½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4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v3.2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