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two months, two lessons a week, small groups, online.</w:t>
      </w:r>
    </w:p>
    <w:p>
      <w:pPr>
        <w:spacing w:after="140"/>
      </w:pPr>
      <w:r>
        <w:rPr>
          <w:b/>
          <w:i w:val="0"/>
          <w:color w:val="1A1A1A"/>
          <w:sz w:val="21"/>
        </w:rPr>
        <w:t>The enclosed document now describes both courses in the same detail</w:t>
      </w:r>
      <w:r>
        <w:rPr>
          <w:i w:val="0"/>
          <w:color w:val="1A1A1A"/>
          <w:sz w:val="21"/>
        </w:rPr>
        <w:t xml:space="preserve"> — each with its own curriculum, schedule, assessment and finished program. Earlier versions covered the first course in full and the second in a single page.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three a week, 20 hours in total</w:t>
            </w:r>
          </w:p>
        </w:tc>
        <w:tc>
          <w:tcPr>
            <w:tcW w:type="dxa" w:w="2447"/>
          </w:tcPr>
          <w:p>
            <w:pPr>
              <w:spacing w:after="40" w:before="40"/>
            </w:pPr>
            <w:r/>
            <w:r>
              <w:rPr>
                <w:b/>
                <w:i w:val="0"/>
                <w:color w:val="1A1A1A"/>
                <w:sz w:val="18"/>
              </w:rPr>
              <w:t>Two hours, twice a week, 32 hours in total</w:t>
            </w:r>
          </w:p>
        </w:tc>
        <w:tc>
          <w:tcPr>
            <w:tcW w:type="dxa" w:w="4329"/>
          </w:tcPr>
          <w:p>
            <w:pPr>
              <w:spacing w:after="40" w:before="40"/>
            </w:pPr>
            <w:r/>
            <w:r>
              <w:rPr>
                <w:i w:val="0"/>
                <w:color w:val="1A1A1A"/>
                <w:sz w:val="18"/>
              </w:rPr>
              <w:t>More time in total, and fewer interruptions to a teacher's week. The practice that no longer fits in the room is set as homework — and every piece of it is a task the materials already contained</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Online</w:t>
            </w:r>
            <w:r>
              <w:rPr>
                <w:i w:val="0"/>
                <w:color w:val="1A1A1A"/>
                <w:sz w:val="18"/>
              </w:rPr>
              <w:t>, by video call</w:t>
            </w:r>
          </w:p>
        </w:tc>
        <w:tc>
          <w:tcPr>
            <w:tcW w:type="dxa" w:w="4329"/>
          </w:tcPr>
          <w:p>
            <w:pPr>
              <w:spacing w:after="40" w:before="40"/>
            </w:pPr>
            <w:r/>
            <w:r>
              <w:rPr>
                <w:i w:val="0"/>
                <w:color w:val="1A1A1A"/>
                <w:sz w:val="18"/>
              </w:rPr>
              <w:t>Teachers join from home or school. This removes some problems and creates others, both described in the full document</w:t>
            </w:r>
          </w:p>
        </w:tc>
      </w:tr>
    </w:tbl>
    <w:p>
      <w:pPr>
        <w:spacing w:after="80"/>
      </w:pP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3.0 · 11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