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16 sessions × 120 minutes = </w:t>
            </w:r>
            <w:r>
              <w:rPr>
                <w:b/>
                <w:i w:val="0"/>
                <w:color w:val="1A1A1A"/>
                <w:sz w:val="19"/>
              </w:rPr>
              <w:t>32 hours</w:t>
            </w:r>
            <w:r>
              <w:rPr>
                <w:i w:val="0"/>
                <w:color w:val="1A1A1A"/>
                <w:sz w:val="19"/>
              </w:rPr>
              <w:t xml:space="preserve">, </w:t>
            </w:r>
            <w:r>
              <w:rPr>
                <w:b/>
                <w:i w:val="0"/>
                <w:color w:val="1A1A1A"/>
                <w:sz w:val="19"/>
              </w:rPr>
              <w:t>twice a week</w:t>
            </w:r>
            <w:r>
              <w:rPr>
                <w:i w:val="0"/>
                <w:color w:val="1A1A1A"/>
                <w:sz w:val="19"/>
              </w:rPr>
              <w:t xml:space="preserve"> over eight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3.0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sixteen sessions of two hours, twice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16 sessions, twice a week over eight weeks.</w:t>
      </w:r>
      <w:r>
        <w:rPr>
          <w:i w:val="0"/>
          <w:color w:val="1A1A1A"/>
          <w:sz w:val="21"/>
        </w:rPr>
        <w:t xml:space="preserve"> Sessions run </w:t>
      </w:r>
      <w:r>
        <w:rPr>
          <w:b/>
          <w:i w:val="0"/>
          <w:color w:val="1A1A1A"/>
          <w:sz w:val="21"/>
        </w:rPr>
        <w:t>two hours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120 minutes, twice a week — 16 × 120 = 32 hours, and the practice that no longer fits in the room is set as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two-hour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16 two-hour sessions</w:t>
      </w:r>
      <w:r>
        <w:rPr>
          <w:i w:val="0"/>
          <w:color w:val="1A1A1A"/>
          <w:sz w:val="21"/>
        </w:rPr>
        <w:t xml:space="preserve">: a topic is one notebook and one idea, a session is two hours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16</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16 teaching sessions remain 32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9</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16</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32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Thirty-two hours is not much</w:t>
            </w:r>
            <w:r>
              <w:rPr>
                <w:i w:val="0"/>
                <w:color w:val="1A1A1A"/>
                <w:sz w:val="18"/>
              </w:rPr>
              <w:t>, in two-hour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it is two hours and two topics, not one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two-hour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32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sixteen sessions of two hours, twice a week for eight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16</w:t>
            </w:r>
          </w:p>
        </w:tc>
        <w:tc>
          <w:tcPr>
            <w:tcW w:type="dxa" w:w="3953"/>
            <w:shd w:val="clear" w:fill="EEF2F7"/>
          </w:tcPr>
          <w:p>
            <w:pPr>
              <w:spacing w:after="40" w:before="40"/>
            </w:pPr>
            <w:r/>
            <w:r>
              <w:rPr>
                <w:b/>
                <w:i w:val="0"/>
                <w:color w:val="1A1A1A"/>
                <w:sz w:val="19"/>
              </w:rPr>
              <w:t>7 of 16</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16 two-hour sessions</w:t>
      </w:r>
      <w:r>
        <w:rPr>
          <w:i w:val="0"/>
          <w:color w:val="1A1A1A"/>
          <w:sz w:val="21"/>
        </w:rPr>
        <w:t xml:space="preserve">. Seven of the sixteen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eight weeks, sixteen sessions of two hours, 32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32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4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v3.0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