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courses, one per school grade.</w:t>
            </w:r>
            <w:r>
              <w:rPr>
                <w:i w:val="0"/>
                <w:color w:val="1A1A1A"/>
                <w:sz w:val="19"/>
              </w:rPr>
              <w:t xml:space="preserve"> Each is a </w:t>
            </w:r>
            <w:r>
              <w:rPr>
                <w:b/>
                <w:i w:val="0"/>
                <w:color w:val="1A1A1A"/>
                <w:sz w:val="19"/>
              </w:rPr>
              <w:t>practical Part 1 of 2 months</w:t>
            </w:r>
            <w:r>
              <w:rPr>
                <w:i w:val="0"/>
                <w:color w:val="1A1A1A"/>
                <w:sz w:val="19"/>
              </w:rPr>
              <w:t xml:space="preserve"> and a </w:t>
            </w:r>
            <w:r>
              <w:rPr>
                <w:b/>
                <w:i w:val="0"/>
                <w:color w:val="1A1A1A"/>
                <w:sz w:val="19"/>
              </w:rPr>
              <w:t>theoretical Part 2 of 4 months</w:t>
            </w:r>
            <w:r>
              <w:rPr>
                <w:i w:val="0"/>
                <w:color w:val="1A1A1A"/>
                <w:sz w:val="19"/>
              </w:rPr>
              <w:t xml:space="preserve"> that runs only if its Part 1 succeeds. </w:t>
            </w:r>
            <w:r>
              <w:rPr>
                <w:b/>
                <w:i w:val="0"/>
                <w:color w:val="1A1A1A"/>
                <w:sz w:val="19"/>
              </w:rPr>
              <w:t>This dossier describes the grade-10 course's Part 1</w:t>
            </w:r>
            <w:r>
              <w:rPr>
                <w:i w:val="0"/>
                <w:color w:val="1A1A1A"/>
                <w:sz w:val="19"/>
              </w:rPr>
              <w:t>; the grade-11 course is summarised in section 12.</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16 sessions × 120 minutes = </w:t>
            </w:r>
            <w:r>
              <w:rPr>
                <w:b/>
                <w:i w:val="0"/>
                <w:color w:val="1A1A1A"/>
                <w:sz w:val="19"/>
              </w:rPr>
              <w:t>32 hours</w:t>
            </w:r>
            <w:r>
              <w:rPr>
                <w:i w:val="0"/>
                <w:color w:val="1A1A1A"/>
                <w:sz w:val="19"/>
              </w:rPr>
              <w:t xml:space="preserve">, </w:t>
            </w:r>
            <w:r>
              <w:rPr>
                <w:b/>
                <w:i w:val="0"/>
                <w:color w:val="1A1A1A"/>
                <w:sz w:val="19"/>
              </w:rPr>
              <w:t>twice a week</w:t>
            </w:r>
            <w:r>
              <w:rPr>
                <w:i w:val="0"/>
                <w:color w:val="1A1A1A"/>
                <w:sz w:val="19"/>
              </w:rPr>
              <w:t xml:space="preserve"> over eight weeks, plus homework between sessions and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Remote</w:t>
            </w:r>
            <w:r>
              <w:rPr>
                <w:i w:val="0"/>
                <w:color w:val="1A1A1A"/>
                <w:sz w:val="19"/>
              </w:rPr>
              <w:t>, over Google Meet with screen sharing</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b/>
                <w:i w:val="0"/>
                <w:color w:val="1A1A1A"/>
                <w:sz w:val="19"/>
              </w:rPr>
              <w:t>Both Part 1 courses are complete and verified. Neither has been taught to a cohort.</w:t>
            </w:r>
            <w:r>
              <w:rPr>
                <w:i w:val="0"/>
                <w:color w:val="1A1A1A"/>
                <w:sz w:val="19"/>
              </w:rPr>
              <w:t xml:space="preserve"> Both Part 2s are visions</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2.1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i w:val="0"/>
                <w:color w:val="1A1A1A"/>
                <w:sz w:val="20"/>
              </w:rPr>
              <w:t>Sections 3–6 answer what you asked: the method, the schedule, the curriculum and the expected results.</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It is now two courses — one preparing a teacher for grade 10, one for grade 11 — and each is a practical Part 1 of two months followed by a theoretical Part 2 of four.</w:t>
      </w:r>
      <w:r>
        <w:rPr>
          <w:i w:val="0"/>
          <w:color w:val="1A1A1A"/>
          <w:sz w:val="21"/>
        </w:rPr>
        <w:t xml:space="preserve"> This dossier describes the </w:t>
      </w:r>
      <w:r>
        <w:rPr>
          <w:b/>
          <w:i w:val="0"/>
          <w:color w:val="1A1A1A"/>
          <w:sz w:val="21"/>
        </w:rPr>
        <w:t>grade-10 course's Part 1</w:t>
      </w:r>
      <w:r>
        <w:rPr>
          <w:i w:val="0"/>
          <w:color w:val="1A1A1A"/>
          <w:sz w:val="21"/>
        </w:rPr>
        <w:t xml:space="preserve">; section 12 summarises the second course, which is also built. Part 1 is sixteen sessions of two hours, twice a week for eight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16 sessions, twice a week over eight weeks.</w:t>
      </w:r>
      <w:r>
        <w:rPr>
          <w:i w:val="0"/>
          <w:color w:val="1A1A1A"/>
          <w:sz w:val="21"/>
        </w:rPr>
        <w:t xml:space="preserve"> Sessions run </w:t>
      </w:r>
      <w:r>
        <w:rPr>
          <w:b/>
          <w:i w:val="0"/>
          <w:color w:val="1A1A1A"/>
          <w:sz w:val="21"/>
        </w:rPr>
        <w:t>two hours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120 minutes, twice a week — 16 × 120 = 32 hours, and the practice that no longer fits in the room is set as homework drawn from tasks the notebooks already carry. Once the cohort has adapted we may move to three of 50 minutes; the day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day 1</w:t>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Midpoint</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days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w:t>
      </w:r>
      <w:r>
        <w:rPr>
          <w:b/>
          <w:i w:val="0"/>
          <w:color w:val="1A1A1A"/>
          <w:sz w:val="21"/>
        </w:rPr>
        <w:t>D</w:t>
      </w:r>
      <w:r>
        <w:rPr>
          <w:i w:val="0"/>
          <w:color w:val="1A1A1A"/>
          <w:sz w:val="21"/>
        </w:rPr>
        <w:t xml:space="preserve"> marks a discovery day,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Day</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Session</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Days 1–19 use Jupyter notebooks; days 20–24 use plain Python files with a written guide beside them, because by then the participants are running a terminal. Day 19 doubles as the catch-up session — nothing new arrives, so anyone who has fallen behind has a session to recover in.</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Part 1</w:t>
            </w:r>
            <w:r>
              <w:rPr>
                <w:i w:val="0"/>
                <w:color w:val="1A1A1A"/>
                <w:sz w:val="19"/>
              </w:rPr>
              <w:t>, days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24</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24 teaching sessions remain 30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day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session 9</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Topics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Day 24</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Days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32 hours,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session; the shortcut is promised in writing before the long half starts; the work is never framed as an ordeal. A participant who leaves topic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Thirty-two hours is not much</w:t>
            </w:r>
            <w:r>
              <w:rPr>
                <w:i w:val="0"/>
                <w:color w:val="1A1A1A"/>
                <w:sz w:val="18"/>
              </w:rPr>
              <w:t>, in two-hour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twice a week for eight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 xml:space="preserve">Every topic is self-contained; worked solutions published after each session; topic 19 is a catch-up with nothing new in it. </w:t>
            </w:r>
            <w:r>
              <w:rPr>
                <w:b/>
                <w:i w:val="0"/>
                <w:color w:val="1A1A1A"/>
                <w:sz w:val="18"/>
              </w:rPr>
              <w:t>A missed two-hour session now costs more than a missed 75-minute one did</w:t>
            </w:r>
            <w:r>
              <w:rPr>
                <w:i w:val="0"/>
                <w:color w:val="1A1A1A"/>
                <w:sz w:val="18"/>
              </w:rPr>
              <w:t xml:space="preserve"> — the recap block at the start of each session exists for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two-hour video call with screen sharing</w:t>
            </w:r>
            <w:r>
              <w:rPr>
                <w:i w:val="0"/>
                <w:color w:val="1A1A1A"/>
                <w:sz w:val="19"/>
              </w:rPr>
              <w:t>, twice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toolchain may change</w:t>
            </w:r>
          </w:p>
        </w:tc>
        <w:tc>
          <w:tcPr>
            <w:tcW w:type="dxa" w:w="6211"/>
            <w:shd w:val="clear" w:fill="EEF2F7"/>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30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second course — preparing teachers for grade 11</w:t>
      </w:r>
    </w:p>
    <w:p>
      <w:pPr>
        <w:spacing w:after="140"/>
      </w:pPr>
      <w:r>
        <w:rPr>
          <w:i w:val="0"/>
          <w:color w:val="1A1A1A"/>
          <w:sz w:val="21"/>
        </w:rPr>
        <w:t xml:space="preserve">Since this dossier was last issued, a </w:t>
      </w:r>
      <w:r>
        <w:rPr>
          <w:b/>
          <w:i w:val="0"/>
          <w:color w:val="1A1A1A"/>
          <w:sz w:val="21"/>
        </w:rPr>
        <w:t>second course has been built and verified</w:t>
      </w:r>
      <w:r>
        <w:rPr>
          <w:i w:val="0"/>
          <w:color w:val="1A1A1A"/>
          <w:sz w:val="21"/>
        </w:rPr>
        <w:t xml:space="preserve">. It takes a teacher who has finished the course described above and prepares them to teach </w:t>
      </w:r>
      <w:r>
        <w:rPr>
          <w:b/>
          <w:i w:val="0"/>
          <w:color w:val="1A1A1A"/>
          <w:sz w:val="21"/>
        </w:rPr>
        <w:t>grade 11</w:t>
      </w:r>
      <w:r>
        <w:rPr>
          <w:i w:val="0"/>
          <w:color w:val="1A1A1A"/>
          <w:sz w:val="21"/>
        </w:rPr>
        <w:t>. It is the same length, the same shape and the same method: twenty-four sessions of seventy-five minutes, three a week for eight weeks, delivered remotely in groups of four to eight.</w:t>
      </w:r>
    </w:p>
    <w:tbl>
      <w:tblPr>
        <w:tblStyle w:val="TableGrid"/>
        <w:tblW w:type="auto" w:w="0"/>
        <w:jc w:val="center"/>
        <w:tblLayout w:type="fixed"/>
        <w:tblLook w:firstColumn="1" w:firstRow="1" w:lastColumn="0" w:lastRow="0" w:noHBand="0" w:noVBand="1" w:val="04A0"/>
      </w:tblPr>
      <w:tblGrid>
        <w:gridCol w:w="1506"/>
        <w:gridCol w:w="3953"/>
        <w:gridCol w:w="3953"/>
      </w:tblGrid>
      <w:tr>
        <w:trPr>
          <w:tblHeader w:val="true"/>
        </w:trPr>
        <w:tc>
          <w:tcPr>
            <w:tcW w:type="dxa" w:w="1506"/>
            <w:shd w:val="clear" w:fill="1F3A5F"/>
          </w:tcPr>
          <w:p>
            <w:pPr>
              <w:spacing w:after="40" w:before="40"/>
            </w:pPr>
            <w:r/>
            <w:r>
              <w:rPr>
                <w:b/>
                <w:color w:val="FFFFFF"/>
                <w:sz w:val="19"/>
              </w:rPr>
            </w:r>
          </w:p>
        </w:tc>
        <w:tc>
          <w:tcPr>
            <w:tcW w:type="dxa" w:w="3953"/>
            <w:shd w:val="clear" w:fill="1F3A5F"/>
          </w:tcPr>
          <w:p>
            <w:pPr>
              <w:spacing w:after="40" w:before="40"/>
            </w:pPr>
            <w:r/>
            <w:r>
              <w:rPr>
                <w:b/>
                <w:color w:val="FFFFFF"/>
                <w:sz w:val="19"/>
              </w:rPr>
              <w:t>Grade-10 course</w:t>
            </w:r>
          </w:p>
        </w:tc>
        <w:tc>
          <w:tcPr>
            <w:tcW w:type="dxa" w:w="3953"/>
            <w:shd w:val="clear" w:fill="1F3A5F"/>
          </w:tcPr>
          <w:p>
            <w:pPr>
              <w:spacing w:after="40" w:before="40"/>
            </w:pPr>
            <w:r/>
            <w:r>
              <w:rPr>
                <w:b/>
                <w:color w:val="FFFFFF"/>
                <w:sz w:val="19"/>
              </w:rPr>
              <w:t>Grade-11 course</w:t>
            </w:r>
          </w:p>
        </w:tc>
      </w:tr>
      <w:tr>
        <w:tc>
          <w:tcPr>
            <w:tcW w:type="dxa" w:w="1506"/>
          </w:tcPr>
          <w:p>
            <w:pPr>
              <w:spacing w:after="40" w:before="40"/>
            </w:pPr>
            <w:r/>
            <w:r>
              <w:rPr>
                <w:i w:val="0"/>
                <w:color w:val="1A1A1A"/>
                <w:sz w:val="19"/>
              </w:rPr>
              <w:t>Entry</w:t>
            </w:r>
          </w:p>
        </w:tc>
        <w:tc>
          <w:tcPr>
            <w:tcW w:type="dxa" w:w="3953"/>
          </w:tcPr>
          <w:p>
            <w:pPr>
              <w:spacing w:after="40" w:before="40"/>
            </w:pPr>
            <w:r/>
            <w:r>
              <w:rPr>
                <w:b/>
                <w:i w:val="0"/>
                <w:color w:val="1A1A1A"/>
                <w:sz w:val="19"/>
              </w:rPr>
              <w:t>None.</w:t>
            </w:r>
            <w:r>
              <w:rPr>
                <w:i w:val="0"/>
                <w:color w:val="1A1A1A"/>
                <w:sz w:val="19"/>
              </w:rPr>
              <w:t xml:space="preserve"> Begins with installing software</w:t>
            </w:r>
          </w:p>
        </w:tc>
        <w:tc>
          <w:tcPr>
            <w:tcW w:type="dxa" w:w="3953"/>
          </w:tcPr>
          <w:p>
            <w:pPr>
              <w:spacing w:after="40" w:before="40"/>
            </w:pPr>
            <w:r/>
            <w:r>
              <w:rPr>
                <w:b/>
                <w:i w:val="0"/>
                <w:color w:val="1A1A1A"/>
                <w:sz w:val="19"/>
              </w:rPr>
              <w:t>The grade-10 course</w:t>
            </w:r>
            <w:r>
              <w:rPr>
                <w:i w:val="0"/>
                <w:color w:val="1A1A1A"/>
                <w:sz w:val="19"/>
              </w:rPr>
              <w:t>, and nothing beyond it</w:t>
            </w:r>
          </w:p>
        </w:tc>
      </w:tr>
      <w:tr>
        <w:tc>
          <w:tcPr>
            <w:tcW w:type="dxa" w:w="1506"/>
            <w:shd w:val="clear" w:fill="EEF2F7"/>
          </w:tcPr>
          <w:p>
            <w:pPr>
              <w:spacing w:after="40" w:before="40"/>
            </w:pPr>
            <w:r/>
            <w:r>
              <w:rPr>
                <w:i w:val="0"/>
                <w:color w:val="1A1A1A"/>
                <w:sz w:val="19"/>
              </w:rPr>
              <w:t>State topics</w:t>
            </w:r>
          </w:p>
        </w:tc>
        <w:tc>
          <w:tcPr>
            <w:tcW w:type="dxa" w:w="3953"/>
            <w:shd w:val="clear" w:fill="EEF2F7"/>
          </w:tcPr>
          <w:p>
            <w:pPr>
              <w:spacing w:after="40" w:before="40"/>
            </w:pPr>
            <w:r/>
            <w:r>
              <w:rPr>
                <w:i w:val="0"/>
                <w:color w:val="1A1A1A"/>
                <w:sz w:val="19"/>
              </w:rPr>
              <w:t>1–14</w:t>
            </w:r>
          </w:p>
        </w:tc>
        <w:tc>
          <w:tcPr>
            <w:tcW w:type="dxa" w:w="3953"/>
            <w:shd w:val="clear" w:fill="EEF2F7"/>
          </w:tcPr>
          <w:p>
            <w:pPr>
              <w:spacing w:after="40" w:before="40"/>
            </w:pPr>
            <w:r/>
            <w:r>
              <w:rPr>
                <w:i w:val="0"/>
                <w:color w:val="1A1A1A"/>
                <w:sz w:val="19"/>
              </w:rPr>
              <w:t>15–22 and 24</w:t>
            </w:r>
          </w:p>
        </w:tc>
      </w:tr>
      <w:tr>
        <w:tc>
          <w:tcPr>
            <w:tcW w:type="dxa" w:w="1506"/>
          </w:tcPr>
          <w:p>
            <w:pPr>
              <w:spacing w:after="40" w:before="40"/>
            </w:pPr>
            <w:r/>
            <w:r>
              <w:rPr>
                <w:i w:val="0"/>
                <w:color w:val="1A1A1A"/>
                <w:sz w:val="19"/>
              </w:rPr>
              <w:t>Spine</w:t>
            </w:r>
          </w:p>
        </w:tc>
        <w:tc>
          <w:tcPr>
            <w:tcW w:type="dxa" w:w="3953"/>
          </w:tcPr>
          <w:p>
            <w:pPr>
              <w:spacing w:after="40" w:before="40"/>
            </w:pPr>
            <w:r/>
            <w:r>
              <w:rPr>
                <w:i w:val="0"/>
                <w:color w:val="1A1A1A"/>
                <w:sz w:val="19"/>
              </w:rPr>
              <w:t>one class, in dictionaries</w:t>
            </w:r>
          </w:p>
        </w:tc>
        <w:tc>
          <w:tcPr>
            <w:tcW w:type="dxa" w:w="3953"/>
          </w:tcPr>
          <w:p>
            <w:pPr>
              <w:spacing w:after="40" w:before="40"/>
            </w:pPr>
            <w:r/>
            <w:r>
              <w:rPr>
                <w:b/>
                <w:i w:val="0"/>
                <w:color w:val="1A1A1A"/>
                <w:sz w:val="19"/>
              </w:rPr>
              <w:t>the whole school</w:t>
            </w:r>
            <w:r>
              <w:rPr>
                <w:i w:val="0"/>
                <w:color w:val="1A1A1A"/>
                <w:sz w:val="19"/>
              </w:rPr>
              <w:t>, as objects with statistics and charts</w:t>
            </w:r>
          </w:p>
        </w:tc>
      </w:tr>
      <w:tr>
        <w:tc>
          <w:tcPr>
            <w:tcW w:type="dxa" w:w="1506"/>
            <w:shd w:val="clear" w:fill="EEF2F7"/>
          </w:tcPr>
          <w:p>
            <w:pPr>
              <w:spacing w:after="40" w:before="40"/>
            </w:pPr>
            <w:r/>
            <w:r>
              <w:rPr>
                <w:i w:val="0"/>
                <w:color w:val="1A1A1A"/>
                <w:sz w:val="19"/>
              </w:rPr>
              <w:t>Teaches</w:t>
            </w:r>
          </w:p>
        </w:tc>
        <w:tc>
          <w:tcPr>
            <w:tcW w:type="dxa" w:w="3953"/>
            <w:shd w:val="clear" w:fill="EEF2F7"/>
          </w:tcPr>
          <w:p>
            <w:pPr>
              <w:spacing w:after="40" w:before="40"/>
            </w:pPr>
            <w:r/>
            <w:r>
              <w:rPr>
                <w:i w:val="0"/>
                <w:color w:val="1A1A1A"/>
                <w:sz w:val="19"/>
              </w:rPr>
              <w:t>print, types, variables, lists, dictionaries, conditions, loops, functions, files</w:t>
            </w:r>
          </w:p>
        </w:tc>
        <w:tc>
          <w:tcPr>
            <w:tcW w:type="dxa" w:w="3953"/>
            <w:shd w:val="clear" w:fill="EEF2F7"/>
          </w:tcPr>
          <w:p>
            <w:pPr>
              <w:spacing w:after="40" w:before="40"/>
            </w:pPr>
            <w:r/>
            <w:r>
              <w:rPr>
                <w:b/>
                <w:i w:val="0"/>
                <w:color w:val="1A1A1A"/>
                <w:sz w:val="19"/>
              </w:rPr>
              <w:t>classes, inheritance, NumPy, Matplotlib, pandas, recursion, debugging</w:t>
            </w:r>
          </w:p>
        </w:tc>
      </w:tr>
      <w:tr>
        <w:tc>
          <w:tcPr>
            <w:tcW w:type="dxa" w:w="1506"/>
          </w:tcPr>
          <w:p>
            <w:pPr>
              <w:spacing w:after="40" w:before="40"/>
            </w:pPr>
            <w:r/>
            <w:r>
              <w:rPr>
                <w:i w:val="0"/>
                <w:color w:val="1A1A1A"/>
                <w:sz w:val="19"/>
              </w:rPr>
              <w:t>Deliverable</w:t>
            </w:r>
          </w:p>
        </w:tc>
        <w:tc>
          <w:tcPr>
            <w:tcW w:type="dxa" w:w="3953"/>
          </w:tcPr>
          <w:p>
            <w:pPr>
              <w:spacing w:after="40" w:before="40"/>
            </w:pPr>
            <w:r/>
            <w:r>
              <w:rPr>
                <w:i w:val="0"/>
                <w:color w:val="1A1A1A"/>
                <w:sz w:val="19"/>
              </w:rPr>
              <w:t>a four-file gradebook over the teacher's own class</w:t>
            </w:r>
          </w:p>
        </w:tc>
        <w:tc>
          <w:tcPr>
            <w:tcW w:type="dxa" w:w="3953"/>
          </w:tcPr>
          <w:p>
            <w:pPr>
              <w:spacing w:after="40" w:before="40"/>
            </w:pPr>
            <w:r/>
            <w:r>
              <w:rPr>
                <w:i w:val="0"/>
                <w:color w:val="1A1A1A"/>
                <w:sz w:val="19"/>
              </w:rPr>
              <w:t xml:space="preserve">a </w:t>
            </w:r>
            <w:r>
              <w:rPr>
                <w:b/>
                <w:i w:val="0"/>
                <w:color w:val="1A1A1A"/>
                <w:sz w:val="19"/>
              </w:rPr>
              <w:t>five-file report tool</w:t>
            </w:r>
            <w:r>
              <w:rPr>
                <w:i w:val="0"/>
                <w:color w:val="1A1A1A"/>
                <w:sz w:val="19"/>
              </w:rPr>
              <w:t xml:space="preserve"> over the teacher's own school file, with charts</w:t>
            </w:r>
          </w:p>
        </w:tc>
      </w:tr>
      <w:tr>
        <w:tc>
          <w:tcPr>
            <w:tcW w:type="dxa" w:w="1506"/>
            <w:shd w:val="clear" w:fill="EEF2F7"/>
          </w:tcPr>
          <w:p>
            <w:pPr>
              <w:spacing w:after="40" w:before="40"/>
            </w:pPr>
            <w:r/>
            <w:r>
              <w:rPr>
                <w:i w:val="0"/>
                <w:color w:val="1A1A1A"/>
                <w:sz w:val="19"/>
              </w:rPr>
              <w:t>Discovery sessions</w:t>
            </w:r>
          </w:p>
        </w:tc>
        <w:tc>
          <w:tcPr>
            <w:tcW w:type="dxa" w:w="3953"/>
            <w:shd w:val="clear" w:fill="EEF2F7"/>
          </w:tcPr>
          <w:p>
            <w:pPr>
              <w:spacing w:after="40" w:before="40"/>
            </w:pPr>
            <w:r/>
            <w:r>
              <w:rPr>
                <w:i w:val="0"/>
                <w:color w:val="1A1A1A"/>
                <w:sz w:val="19"/>
              </w:rPr>
              <w:t>5 of 24</w:t>
            </w:r>
          </w:p>
        </w:tc>
        <w:tc>
          <w:tcPr>
            <w:tcW w:type="dxa" w:w="3953"/>
            <w:shd w:val="clear" w:fill="EEF2F7"/>
          </w:tcPr>
          <w:p>
            <w:pPr>
              <w:spacing w:after="40" w:before="40"/>
            </w:pPr>
            <w:r/>
            <w:r>
              <w:rPr>
                <w:b/>
                <w:i w:val="0"/>
                <w:color w:val="1A1A1A"/>
                <w:sz w:val="19"/>
              </w:rPr>
              <w:t>7 of 24</w:t>
            </w:r>
          </w:p>
        </w:tc>
      </w:tr>
      <w:tr>
        <w:tc>
          <w:tcPr>
            <w:tcW w:type="dxa" w:w="1506"/>
          </w:tcPr>
          <w:p>
            <w:pPr>
              <w:spacing w:after="40" w:before="40"/>
            </w:pPr>
            <w:r/>
            <w:r>
              <w:rPr>
                <w:i w:val="0"/>
                <w:color w:val="1A1A1A"/>
                <w:sz w:val="19"/>
              </w:rPr>
              <w:t>Status</w:t>
            </w:r>
          </w:p>
        </w:tc>
        <w:tc>
          <w:tcPr>
            <w:tcW w:type="dxa" w:w="3953"/>
          </w:tcPr>
          <w:p>
            <w:pPr>
              <w:spacing w:after="40" w:before="40"/>
            </w:pPr>
            <w:r/>
            <w:r>
              <w:rPr>
                <w:i w:val="0"/>
                <w:color w:val="1A1A1A"/>
                <w:sz w:val="19"/>
              </w:rPr>
              <w:t>built and verified</w:t>
            </w:r>
          </w:p>
        </w:tc>
        <w:tc>
          <w:tcPr>
            <w:tcW w:type="dxa" w:w="3953"/>
          </w:tcPr>
          <w:p>
            <w:pPr>
              <w:spacing w:after="40" w:before="40"/>
            </w:pPr>
            <w:r/>
            <w:r>
              <w:rPr>
                <w:b/>
                <w:i w:val="0"/>
                <w:color w:val="1A1A1A"/>
                <w:sz w:val="19"/>
              </w:rPr>
              <w:t>built and verified</w:t>
            </w:r>
          </w:p>
        </w:tc>
      </w:tr>
    </w:tbl>
    <w:p>
      <w:pPr>
        <w:spacing w:after="80"/>
      </w:pPr>
    </w:p>
    <w:p>
      <w:pPr>
        <w:pStyle w:val="Heading2"/>
      </w:pPr>
      <w:r>
        <w:t>What changes between them, and why</w:t>
      </w:r>
    </w:p>
    <w:p>
      <w:pPr>
        <w:spacing w:after="140"/>
      </w:pPr>
      <w:r>
        <w:rPr>
          <w:i w:val="0"/>
          <w:color w:val="1A1A1A"/>
          <w:sz w:val="21"/>
        </w:rPr>
        <w:t xml:space="preserve">Two rules invert, and both inversions are deliberate. The grade-10 course </w:t>
      </w:r>
      <w:r>
        <w:rPr>
          <w:b/>
          <w:i w:val="0"/>
          <w:color w:val="1A1A1A"/>
          <w:sz w:val="21"/>
        </w:rPr>
        <w:t>forbids classes and every third-party library</w:t>
      </w:r>
      <w:r>
        <w:rPr>
          <w:i w:val="0"/>
          <w:color w:val="1A1A1A"/>
          <w:sz w:val="21"/>
        </w:rPr>
        <w:t xml:space="preserve">, because they would let a participant skip the mechanics the course exists to build. The grade-11 course </w:t>
      </w:r>
      <w:r>
        <w:rPr>
          <w:b/>
          <w:i w:val="0"/>
          <w:color w:val="1A1A1A"/>
          <w:sz w:val="21"/>
        </w:rPr>
        <w:t>makes classes its centre and teaches three libraries</w:t>
      </w:r>
      <w:r>
        <w:rPr>
          <w:i w:val="0"/>
          <w:color w:val="1A1A1A"/>
          <w:sz w:val="21"/>
        </w:rPr>
        <w:t>, because those are state topics 18, 19, 15, 20 and 21, and a teacher has to be able to demonstrate them.</w:t>
      </w:r>
    </w:p>
    <w:p>
      <w:pPr>
        <w:spacing w:after="140"/>
      </w:pPr>
      <w:r>
        <w:rPr>
          <w:b/>
          <w:i w:val="0"/>
          <w:color w:val="1A1A1A"/>
          <w:sz w:val="21"/>
        </w:rPr>
        <w:t>The order is preserved even so.</w:t>
      </w:r>
      <w:r>
        <w:rPr>
          <w:i w:val="0"/>
          <w:color w:val="1A1A1A"/>
          <w:sz w:val="21"/>
        </w:rPr>
        <w:t xml:space="preserve"> The session that introduces NumPy first has participants write the standard-deviation formula out by hand. The session that introduces pandas first spends twenty-two lines parsing a file with the tools they already have. The library arrives as relief from work already done — never as a way to avoid understanding it.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the two courses cover together</w:t>
            </w:r>
          </w:p>
          <w:p>
            <w:pPr>
              <w:spacing w:after="20"/>
            </w:pPr>
            <w:r>
              <w:rPr>
                <w:b/>
                <w:i w:val="0"/>
                <w:color w:val="1A1A1A"/>
                <w:sz w:val="20"/>
              </w:rPr>
              <w:t>187 of the state curriculum's 193 pupil-hours</w:t>
            </w:r>
            <w:r>
              <w:rPr>
                <w:i w:val="0"/>
                <w:color w:val="1A1A1A"/>
                <w:sz w:val="20"/>
              </w:rPr>
              <w:t>, in sixty teacher-hours.</w:t>
            </w:r>
          </w:p>
          <w:p>
            <w:pPr>
              <w:spacing w:after="20"/>
            </w:pPr>
            <w:r>
              <w:rPr>
                <w:i w:val="0"/>
                <w:color w:val="1A1A1A"/>
                <w:sz w:val="20"/>
              </w:rPr>
              <w:t xml:space="preserve">The six that remain are </w:t>
            </w:r>
            <w:r>
              <w:rPr>
                <w:b/>
                <w:i w:val="0"/>
                <w:color w:val="1A1A1A"/>
                <w:sz w:val="20"/>
              </w:rPr>
              <w:t>topic 23, version control</w:t>
            </w:r>
            <w:r>
              <w:rPr>
                <w:i w:val="0"/>
                <w:color w:val="1A1A1A"/>
                <w:sz w:val="20"/>
              </w:rPr>
              <w:t>, deliberately deferred until the rest of the subject is secure.</w:t>
            </w:r>
          </w:p>
          <w:p>
            <w:pPr>
              <w:spacing w:after="20"/>
            </w:pPr>
            <w:r>
              <w:rPr>
                <w:i w:val="0"/>
                <w:color w:val="1A1A1A"/>
                <w:sz w:val="20"/>
              </w:rPr>
              <w:t>A teacher who completes both can deliver grade 10 and grade 11 in full, apart from that topic.</w:t>
            </w:r>
          </w:p>
        </w:tc>
      </w:tr>
    </w:tbl>
    <w:p>
      <w:pPr>
        <w:spacing w:after="80"/>
      </w:pPr>
    </w:p>
    <w:p>
      <w:pPr>
        <w:pStyle w:val="Heading2"/>
      </w:pPr>
      <w:r>
        <w:t>Three gaps we are naming rather than hiding</w:t>
      </w:r>
    </w:p>
    <w:p>
      <w:pPr>
        <w:pStyle w:val="ListBullet"/>
        <w:spacing w:after="60"/>
        <w:ind w:left="397"/>
      </w:pPr>
      <w:r>
        <w:rPr>
          <w:b/>
          <w:i w:val="0"/>
          <w:color w:val="1A1A1A"/>
          <w:sz w:val="21"/>
        </w:rPr>
        <w:t>Recursion is taught as mechanics only</w:t>
      </w:r>
      <w:r>
        <w:rPr>
          <w:i w:val="0"/>
          <w:color w:val="1A1A1A"/>
          <w:sz w:val="21"/>
        </w:rPr>
        <w:t xml:space="preserve"> — walking a nested structure. Its algorithmic half, including the call stack and complexity, is Part 2 material. The build fails if the teaching material so much as names factorial or Fibonacci.</w:t>
      </w:r>
    </w:p>
    <w:p>
      <w:pPr>
        <w:pStyle w:val="ListBullet"/>
        <w:spacing w:after="60"/>
        <w:ind w:left="397"/>
      </w:pPr>
      <w:r>
        <w:rPr>
          <w:b/>
          <w:i w:val="0"/>
          <w:color w:val="1A1A1A"/>
          <w:sz w:val="21"/>
        </w:rPr>
        <w:t>Topic 21 names six libraries and five environments.</w:t>
      </w:r>
      <w:r>
        <w:rPr>
          <w:i w:val="0"/>
          <w:color w:val="1A1A1A"/>
          <w:sz w:val="21"/>
        </w:rPr>
        <w:t xml:space="preserve"> Three libraries are taught to the point of use. The rest are named once, in the final session, with what each one is and why a grade-11 teacher does not need it — because pupils will ask, and «that is difficult» is the wrong answer.</w:t>
      </w:r>
    </w:p>
    <w:p>
      <w:pPr>
        <w:pStyle w:val="ListBullet"/>
        <w:spacing w:after="60"/>
        <w:ind w:left="397"/>
      </w:pPr>
      <w:r>
        <w:rPr>
          <w:b/>
          <w:i w:val="0"/>
          <w:color w:val="1A1A1A"/>
          <w:sz w:val="21"/>
        </w:rPr>
        <w:t>Neither course has been taught to a cohort.</w:t>
      </w:r>
      <w:r>
        <w:rPr>
          <w:i w:val="0"/>
          <w:color w:val="1A1A1A"/>
          <w:sz w:val="21"/>
        </w:rPr>
        <w:t xml:space="preserve"> Everything above is a design claim, not a result.</w:t>
      </w:r>
    </w:p>
    <w:p>
      <w:r>
        <w:br w:type="page"/>
      </w:r>
    </w:p>
    <w:p>
      <w:pPr>
        <w:pStyle w:val="Heading1"/>
        <w:pBdr>
          <w:bottom w:val="single" w:sz="6" w:space="4" w:color="1F3A5F"/>
        </w:pBdr>
      </w:pPr>
      <w:r>
        <w:t>12.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30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4423"/>
        <w:gridCol w:w="1223"/>
        <w:gridCol w:w="3764"/>
      </w:tblGrid>
      <w:tr>
        <w:trPr>
          <w:tblHeader w:val="true"/>
        </w:trPr>
        <w:tc>
          <w:tcPr>
            <w:tcW w:type="dxa" w:w="4423"/>
            <w:shd w:val="clear" w:fill="1F3A5F"/>
          </w:tcPr>
          <w:p>
            <w:pPr>
              <w:spacing w:after="40" w:before="40"/>
            </w:pPr>
            <w:r/>
            <w:r>
              <w:rPr>
                <w:b/>
                <w:color w:val="FFFFFF"/>
                <w:sz w:val="19"/>
              </w:rPr>
              <w:t>Material</w:t>
            </w:r>
          </w:p>
        </w:tc>
        <w:tc>
          <w:tcPr>
            <w:tcW w:type="dxa" w:w="1223"/>
            <w:shd w:val="clear" w:fill="1F3A5F"/>
          </w:tcPr>
          <w:p>
            <w:pPr>
              <w:spacing w:after="40" w:before="40"/>
            </w:pPr>
            <w:r/>
            <w:r>
              <w:rPr>
                <w:b/>
                <w:color w:val="FFFFFF"/>
                <w:sz w:val="19"/>
              </w:rPr>
              <w:t>Count</w:t>
            </w:r>
          </w:p>
        </w:tc>
        <w:tc>
          <w:tcPr>
            <w:tcW w:type="dxa" w:w="3764"/>
            <w:shd w:val="clear" w:fill="1F3A5F"/>
          </w:tcPr>
          <w:p>
            <w:pPr>
              <w:spacing w:after="40" w:before="40"/>
            </w:pPr>
            <w:r/>
            <w:r>
              <w:rPr>
                <w:b/>
                <w:color w:val="FFFFFF"/>
                <w:sz w:val="19"/>
              </w:rPr>
              <w:t>Audience</w:t>
            </w:r>
          </w:p>
        </w:tc>
      </w:tr>
      <w:tr>
        <w:tc>
          <w:tcPr>
            <w:tcW w:type="dxa" w:w="4423"/>
          </w:tcPr>
          <w:p>
            <w:pPr>
              <w:spacing w:after="40" w:before="40"/>
            </w:pPr>
            <w:r/>
            <w:r>
              <w:rPr>
                <w:i w:val="0"/>
                <w:color w:val="1A1A1A"/>
                <w:sz w:val="19"/>
              </w:rPr>
              <w:t>Lesson notebooks (days 1–19)</w:t>
            </w:r>
          </w:p>
        </w:tc>
        <w:tc>
          <w:tcPr>
            <w:tcW w:type="dxa" w:w="1223"/>
          </w:tcPr>
          <w:p>
            <w:pPr>
              <w:spacing w:after="40" w:before="40"/>
            </w:pPr>
            <w:r/>
            <w:r>
              <w:rPr>
                <w:i w:val="0"/>
                <w:color w:val="1A1A1A"/>
                <w:sz w:val="19"/>
              </w:rPr>
              <w:t>19</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Written guides (days 20–24)</w:t>
            </w:r>
          </w:p>
        </w:tc>
        <w:tc>
          <w:tcPr>
            <w:tcW w:type="dxa" w:w="1223"/>
            <w:shd w:val="clear" w:fill="EEF2F7"/>
          </w:tcPr>
          <w:p>
            <w:pPr>
              <w:spacing w:after="40" w:before="40"/>
            </w:pPr>
            <w:r/>
            <w:r>
              <w:rPr>
                <w:i w:val="0"/>
                <w:color w:val="1A1A1A"/>
                <w:sz w:val="19"/>
              </w:rPr>
              <w:t>5</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Worked solutions</w:t>
            </w:r>
          </w:p>
        </w:tc>
        <w:tc>
          <w:tcPr>
            <w:tcW w:type="dxa" w:w="1223"/>
          </w:tcPr>
          <w:p>
            <w:pPr>
              <w:spacing w:after="40" w:before="40"/>
            </w:pPr>
            <w:r/>
            <w:r>
              <w:rPr>
                <w:i w:val="0"/>
                <w:color w:val="1A1A1A"/>
                <w:sz w:val="19"/>
              </w:rPr>
              <w:t>18</w:t>
            </w:r>
          </w:p>
        </w:tc>
        <w:tc>
          <w:tcPr>
            <w:tcW w:type="dxa" w:w="3764"/>
          </w:tcPr>
          <w:p>
            <w:pPr>
              <w:spacing w:after="40" w:before="40"/>
            </w:pPr>
            <w:r/>
            <w:r>
              <w:rPr>
                <w:i w:val="0"/>
                <w:color w:val="1A1A1A"/>
                <w:sz w:val="19"/>
              </w:rPr>
              <w:t>Participant, after each session</w:t>
            </w:r>
          </w:p>
        </w:tc>
      </w:tr>
      <w:tr>
        <w:tc>
          <w:tcPr>
            <w:tcW w:type="dxa" w:w="4423"/>
            <w:shd w:val="clear" w:fill="EEF2F7"/>
          </w:tcPr>
          <w:p>
            <w:pPr>
              <w:spacing w:after="40" w:before="40"/>
            </w:pPr>
            <w:r/>
            <w:r>
              <w:rPr>
                <w:i w:val="0"/>
                <w:color w:val="1A1A1A"/>
                <w:sz w:val="19"/>
              </w:rPr>
              <w:t>Assessments — grader's and participant versions</w:t>
            </w:r>
          </w:p>
        </w:tc>
        <w:tc>
          <w:tcPr>
            <w:tcW w:type="dxa" w:w="1223"/>
            <w:shd w:val="clear" w:fill="EEF2F7"/>
          </w:tcPr>
          <w:p>
            <w:pPr>
              <w:spacing w:after="40" w:before="40"/>
            </w:pPr>
            <w:r/>
            <w:r>
              <w:rPr>
                <w:i w:val="0"/>
                <w:color w:val="1A1A1A"/>
                <w:sz w:val="19"/>
              </w:rPr>
              <w:t>3 × 2</w:t>
            </w:r>
          </w:p>
        </w:tc>
        <w:tc>
          <w:tcPr>
            <w:tcW w:type="dxa" w:w="3764"/>
            <w:shd w:val="clear" w:fill="EEF2F7"/>
          </w:tcPr>
          <w:p>
            <w:pPr>
              <w:spacing w:after="40" w:before="40"/>
            </w:pPr>
            <w:r/>
            <w:r>
              <w:rPr>
                <w:i w:val="0"/>
                <w:color w:val="1A1A1A"/>
                <w:sz w:val="19"/>
              </w:rPr>
              <w:t>Participant / instructor</w:t>
            </w:r>
          </w:p>
        </w:tc>
      </w:tr>
      <w:tr>
        <w:tc>
          <w:tcPr>
            <w:tcW w:type="dxa" w:w="4423"/>
          </w:tcPr>
          <w:p>
            <w:pPr>
              <w:spacing w:after="40" w:before="40"/>
            </w:pPr>
            <w:r/>
            <w:r>
              <w:rPr>
                <w:i w:val="0"/>
                <w:color w:val="1A1A1A"/>
                <w:sz w:val="19"/>
              </w:rPr>
              <w:t>Assessment marking guides</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Instructor only</w:t>
            </w:r>
          </w:p>
        </w:tc>
      </w:tr>
      <w:tr>
        <w:tc>
          <w:tcPr>
            <w:tcW w:type="dxa" w:w="4423"/>
            <w:shd w:val="clear" w:fill="EEF2F7"/>
          </w:tcPr>
          <w:p>
            <w:pPr>
              <w:spacing w:after="40" w:before="40"/>
            </w:pPr>
            <w:r/>
            <w:r>
              <w:rPr>
                <w:i w:val="0"/>
                <w:color w:val="1A1A1A"/>
                <w:sz w:val="19"/>
              </w:rPr>
              <w:t>Reference program</w:t>
            </w:r>
          </w:p>
        </w:tc>
        <w:tc>
          <w:tcPr>
            <w:tcW w:type="dxa" w:w="1223"/>
            <w:shd w:val="clear" w:fill="EEF2F7"/>
          </w:tcPr>
          <w:p>
            <w:pPr>
              <w:spacing w:after="40" w:before="40"/>
            </w:pPr>
            <w:r/>
            <w:r>
              <w:rPr>
                <w:i w:val="0"/>
                <w:color w:val="1A1A1A"/>
                <w:sz w:val="19"/>
              </w:rPr>
              <w:t>4 files</w:t>
            </w:r>
          </w:p>
        </w:tc>
        <w:tc>
          <w:tcPr>
            <w:tcW w:type="dxa" w:w="3764"/>
            <w:shd w:val="clear" w:fill="EEF2F7"/>
          </w:tcPr>
          <w:p>
            <w:pPr>
              <w:spacing w:after="40" w:before="40"/>
            </w:pPr>
            <w:r/>
            <w:r>
              <w:rPr>
                <w:i w:val="0"/>
                <w:color w:val="1A1A1A"/>
                <w:sz w:val="19"/>
              </w:rPr>
              <w:t>Participant, from day 21</w:t>
            </w:r>
          </w:p>
        </w:tc>
      </w:tr>
      <w:tr>
        <w:tc>
          <w:tcPr>
            <w:tcW w:type="dxa" w:w="4423"/>
          </w:tcPr>
          <w:p>
            <w:pPr>
              <w:spacing w:after="40" w:before="40"/>
            </w:pPr>
            <w:r/>
            <w:r>
              <w:rPr>
                <w:i w:val="0"/>
                <w:color w:val="1A1A1A"/>
                <w:sz w:val="19"/>
              </w:rPr>
              <w:t>Installation instructions, reference sheet, setup check</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Instructor notes, curriculum, build specification</w:t>
            </w:r>
          </w:p>
        </w:tc>
        <w:tc>
          <w:tcPr>
            <w:tcW w:type="dxa" w:w="1223"/>
            <w:shd w:val="clear" w:fill="EEF2F7"/>
          </w:tcPr>
          <w:p>
            <w:pPr>
              <w:spacing w:after="40" w:before="40"/>
            </w:pPr>
            <w:r/>
            <w:r>
              <w:rPr>
                <w:i w:val="0"/>
                <w:color w:val="1A1A1A"/>
                <w:sz w:val="19"/>
              </w:rPr>
              <w:t>3</w:t>
            </w:r>
          </w:p>
        </w:tc>
        <w:tc>
          <w:tcPr>
            <w:tcW w:type="dxa" w:w="3764"/>
            <w:shd w:val="clear" w:fill="EEF2F7"/>
          </w:tcPr>
          <w:p>
            <w:pPr>
              <w:spacing w:after="40" w:before="40"/>
            </w:pPr>
            <w:r/>
            <w:r>
              <w:rPr>
                <w:i w:val="0"/>
                <w:color w:val="1A1A1A"/>
                <w:sz w:val="19"/>
              </w:rPr>
              <w:t>Instructor / organiser</w:t>
            </w:r>
          </w:p>
        </w:tc>
      </w:tr>
      <w:tr>
        <w:tc>
          <w:tcPr>
            <w:tcW w:type="dxa" w:w="4423"/>
          </w:tcPr>
          <w:p>
            <w:pPr>
              <w:spacing w:after="40" w:before="40"/>
            </w:pPr>
            <w:r/>
            <w:r>
              <w:rPr>
                <w:i w:val="0"/>
                <w:color w:val="1A1A1A"/>
                <w:sz w:val="19"/>
              </w:rPr>
              <w:t>Recruitment announcement</w:t>
            </w:r>
          </w:p>
        </w:tc>
        <w:tc>
          <w:tcPr>
            <w:tcW w:type="dxa" w:w="1223"/>
          </w:tcPr>
          <w:p>
            <w:pPr>
              <w:spacing w:after="40" w:before="40"/>
            </w:pPr>
            <w:r/>
            <w:r>
              <w:rPr>
                <w:i w:val="0"/>
                <w:color w:val="1A1A1A"/>
                <w:sz w:val="19"/>
              </w:rPr>
              <w:t>1</w:t>
            </w:r>
          </w:p>
        </w:tc>
        <w:tc>
          <w:tcPr>
            <w:tcW w:type="dxa" w:w="3764"/>
          </w:tcPr>
          <w:p>
            <w:pPr>
              <w:spacing w:after="40" w:before="40"/>
            </w:pPr>
            <w:r/>
            <w:r>
              <w:rPr>
                <w:i w:val="0"/>
                <w:color w:val="1A1A1A"/>
                <w:sz w:val="19"/>
              </w:rPr>
              <w:t>Prospective participants</w:t>
            </w:r>
          </w:p>
        </w:tc>
      </w:tr>
    </w:tbl>
    <w:p>
      <w:pPr>
        <w:spacing w:after="80"/>
      </w:pPr>
    </w:p>
    <w:p>
      <w:pPr>
        <w:spacing w:after="140"/>
      </w:pPr>
      <w:r>
        <w:rPr>
          <w:i w:val="0"/>
          <w:color w:val="1A1A1A"/>
          <w:sz w:val="21"/>
        </w:rPr>
        <w:t>Materials are held in a version-controlled repository with four automated checks that must pass before any change is accepted: session arithmetic, execution of all 43 notebooks, the language and dependency rules, and the finished program running end to end. Nothing is reported as complete on the strength of inspection alone.</w:t>
      </w:r>
    </w:p>
    <w:p>
      <w:pPr>
        <w:pBdr>
          <w:bottom w:val="single" w:sz="6" w:space="4" w:color="1F3A5F"/>
        </w:pBdr>
      </w:pPr>
    </w:p>
    <w:p>
      <w:pPr>
        <w:spacing w:after="140"/>
      </w:pPr>
      <w:r>
        <w:rPr>
          <w:i w:val="0"/>
          <w:color w:val="5A5A5A"/>
          <w:sz w:val="18"/>
        </w:rPr>
        <w:t>Programme dossier v2.1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