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Structure</w:t>
            </w:r>
          </w:p>
        </w:tc>
        <w:tc>
          <w:tcPr>
            <w:tcW w:type="dxa" w:w="7811"/>
          </w:tcPr>
          <w:p>
            <w:pPr>
              <w:spacing w:after="40" w:before="40"/>
            </w:pPr>
            <w:r/>
            <w:r>
              <w:rPr>
                <w:b/>
                <w:i w:val="0"/>
                <w:color w:val="1A1A1A"/>
                <w:sz w:val="19"/>
              </w:rPr>
              <w:t>Two parts.</w:t>
            </w:r>
            <w:r>
              <w:rPr>
                <w:i w:val="0"/>
                <w:color w:val="1A1A1A"/>
                <w:sz w:val="19"/>
              </w:rPr>
              <w:t xml:space="preserve"> </w:t>
            </w:r>
            <w:r>
              <w:rPr>
                <w:b/>
                <w:i w:val="0"/>
                <w:color w:val="1A1A1A"/>
                <w:sz w:val="19"/>
              </w:rPr>
              <w:t>Part 1 — coding skills — 2 months.</w:t>
            </w:r>
            <w:r>
              <w:rPr>
                <w:i w:val="0"/>
                <w:color w:val="1A1A1A"/>
                <w:sz w:val="19"/>
              </w:rPr>
              <w:t xml:space="preserve"> </w:t>
            </w:r>
            <w:r>
              <w:rPr>
                <w:b/>
                <w:i w:val="0"/>
                <w:color w:val="1A1A1A"/>
                <w:sz w:val="19"/>
              </w:rPr>
              <w:t>Part 2 — algorithmic tasks and theory — 4 months</w:t>
            </w:r>
            <w:r>
              <w:rPr>
                <w:i w:val="0"/>
                <w:color w:val="1A1A1A"/>
                <w:sz w:val="19"/>
              </w:rPr>
              <w:t xml:space="preserve">, and only if Part 1 succeeds. </w:t>
            </w:r>
            <w:r>
              <w:rPr>
                <w:b/>
                <w:i w:val="0"/>
                <w:color w:val="1A1A1A"/>
                <w:sz w:val="19"/>
              </w:rPr>
              <w:t>This dossier describes Part 1.</w:t>
            </w:r>
          </w:p>
        </w:tc>
      </w:tr>
      <w:tr>
        <w:tc>
          <w:tcPr>
            <w:tcW w:type="dxa" w:w="1600"/>
            <w:shd w:val="clear" w:fill="EEF2F7"/>
          </w:tcPr>
          <w:p>
            <w:pPr>
              <w:spacing w:after="40" w:before="40"/>
            </w:pPr>
            <w:r/>
            <w:r>
              <w:rPr>
                <w:i w:val="0"/>
                <w:color w:val="1A1A1A"/>
                <w:sz w:val="19"/>
              </w:rPr>
              <w:t>Part 1 format</w:t>
            </w:r>
          </w:p>
        </w:tc>
        <w:tc>
          <w:tcPr>
            <w:tcW w:type="dxa" w:w="7811"/>
            <w:shd w:val="clear" w:fill="EEF2F7"/>
          </w:tcPr>
          <w:p>
            <w:pPr>
              <w:spacing w:after="40" w:before="40"/>
            </w:pPr>
            <w:r/>
            <w:r>
              <w:rPr>
                <w:i w:val="0"/>
                <w:color w:val="1A1A1A"/>
                <w:sz w:val="19"/>
              </w:rPr>
              <w:t xml:space="preserve">24 sessions × 75 minutes = </w:t>
            </w:r>
            <w:r>
              <w:rPr>
                <w:b/>
                <w:i w:val="0"/>
                <w:color w:val="1A1A1A"/>
                <w:sz w:val="19"/>
              </w:rPr>
              <w:t>30 hours</w:t>
            </w:r>
            <w:r>
              <w:rPr>
                <w:i w:val="0"/>
                <w:color w:val="1A1A1A"/>
                <w:sz w:val="19"/>
              </w:rPr>
              <w:t>, three times a week over eight weeks, plus three assessment sittings</w:t>
            </w:r>
          </w:p>
        </w:tc>
      </w:tr>
      <w:tr>
        <w:tc>
          <w:tcPr>
            <w:tcW w:type="dxa" w:w="1600"/>
          </w:tcPr>
          <w:p>
            <w:pPr>
              <w:spacing w:after="40" w:before="40"/>
            </w:pPr>
            <w:r/>
            <w:r>
              <w:rPr>
                <w:i w:val="0"/>
                <w:color w:val="1A1A1A"/>
                <w:sz w:val="19"/>
              </w:rPr>
              <w:t>Delivery</w:t>
            </w:r>
          </w:p>
        </w:tc>
        <w:tc>
          <w:tcPr>
            <w:tcW w:type="dxa" w:w="7811"/>
          </w:tcPr>
          <w:p>
            <w:pPr>
              <w:spacing w:after="40" w:before="40"/>
            </w:pPr>
            <w:r/>
            <w:r>
              <w:rPr>
                <w:b/>
                <w:i w:val="0"/>
                <w:color w:val="1A1A1A"/>
                <w:sz w:val="19"/>
              </w:rPr>
              <w:t>Remote</w:t>
            </w:r>
            <w:r>
              <w:rPr>
                <w:i w:val="0"/>
                <w:color w:val="1A1A1A"/>
                <w:sz w:val="19"/>
              </w:rPr>
              <w:t>, over Google Meet with screen sharing</w:t>
            </w:r>
          </w:p>
        </w:tc>
      </w:tr>
      <w:tr>
        <w:tc>
          <w:tcPr>
            <w:tcW w:type="dxa" w:w="1600"/>
            <w:shd w:val="clear" w:fill="EEF2F7"/>
          </w:tcPr>
          <w:p>
            <w:pPr>
              <w:spacing w:after="40" w:before="40"/>
            </w:pPr>
            <w:r/>
            <w:r>
              <w:rPr>
                <w:i w:val="0"/>
                <w:color w:val="1A1A1A"/>
                <w:sz w:val="19"/>
              </w:rPr>
              <w:t>Audience</w:t>
            </w:r>
          </w:p>
        </w:tc>
        <w:tc>
          <w:tcPr>
            <w:tcW w:type="dxa" w:w="7811"/>
            <w:shd w:val="clear" w:fill="EEF2F7"/>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tcPr>
          <w:p>
            <w:pPr>
              <w:spacing w:after="40" w:before="40"/>
            </w:pPr>
            <w:r/>
            <w:r>
              <w:rPr>
                <w:i w:val="0"/>
                <w:color w:val="1A1A1A"/>
                <w:sz w:val="19"/>
              </w:rPr>
              <w:t>Group size</w:t>
            </w:r>
          </w:p>
        </w:tc>
        <w:tc>
          <w:tcPr>
            <w:tcW w:type="dxa" w:w="7811"/>
          </w:tcPr>
          <w:p>
            <w:pPr>
              <w:spacing w:after="40" w:before="40"/>
            </w:pPr>
            <w:r/>
            <w:r>
              <w:rPr>
                <w:b/>
                <w:i w:val="0"/>
                <w:color w:val="1A1A1A"/>
                <w:sz w:val="19"/>
              </w:rPr>
              <w:t>4–8 per group</w:t>
            </w:r>
            <w:r>
              <w:rPr>
                <w:i w:val="0"/>
                <w:color w:val="1A1A1A"/>
                <w:sz w:val="19"/>
              </w:rPr>
              <w:t>, one instructor</w:t>
            </w:r>
          </w:p>
        </w:tc>
      </w:tr>
      <w:tr>
        <w:tc>
          <w:tcPr>
            <w:tcW w:type="dxa" w:w="1600"/>
            <w:shd w:val="clear" w:fill="EEF2F7"/>
          </w:tcPr>
          <w:p>
            <w:pPr>
              <w:spacing w:after="40" w:before="40"/>
            </w:pPr>
            <w:r/>
            <w:r>
              <w:rPr>
                <w:i w:val="0"/>
                <w:color w:val="1A1A1A"/>
                <w:sz w:val="19"/>
              </w:rPr>
              <w:t>Deliverable</w:t>
            </w:r>
          </w:p>
        </w:tc>
        <w:tc>
          <w:tcPr>
            <w:tcW w:type="dxa" w:w="7811"/>
            <w:shd w:val="clear" w:fill="EEF2F7"/>
          </w:tcPr>
          <w:p>
            <w:pPr>
              <w:spacing w:after="40" w:before="40"/>
            </w:pPr>
            <w:r/>
            <w:r>
              <w:rPr>
                <w:i w:val="0"/>
                <w:color w:val="1A1A1A"/>
                <w:sz w:val="19"/>
              </w:rPr>
              <w:t>A runnable four-file Python program over the participant's own class data, demonstrated to a colleague</w:t>
            </w:r>
          </w:p>
        </w:tc>
      </w:tr>
      <w:tr>
        <w:tc>
          <w:tcPr>
            <w:tcW w:type="dxa" w:w="1600"/>
          </w:tcPr>
          <w:p>
            <w:pPr>
              <w:spacing w:after="40" w:before="40"/>
            </w:pPr>
            <w:r/>
            <w:r>
              <w:rPr>
                <w:i w:val="0"/>
                <w:color w:val="1A1A1A"/>
                <w:sz w:val="19"/>
              </w:rPr>
              <w:t>Cost</w:t>
            </w:r>
          </w:p>
        </w:tc>
        <w:tc>
          <w:tcPr>
            <w:tcW w:type="dxa" w:w="7811"/>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shd w:val="clear" w:fill="EEF2F7"/>
          </w:tcPr>
          <w:p>
            <w:pPr>
              <w:spacing w:after="40" w:before="40"/>
            </w:pPr>
            <w:r/>
            <w:r>
              <w:rPr>
                <w:i w:val="0"/>
                <w:color w:val="1A1A1A"/>
                <w:sz w:val="19"/>
              </w:rPr>
              <w:t>Judged by</w:t>
            </w:r>
          </w:p>
        </w:tc>
        <w:tc>
          <w:tcPr>
            <w:tcW w:type="dxa" w:w="7811"/>
            <w:shd w:val="clear" w:fill="EEF2F7"/>
          </w:tcPr>
          <w:p>
            <w:pPr>
              <w:spacing w:after="40" w:before="40"/>
            </w:pPr>
            <w:r/>
            <w:r>
              <w:rPr>
                <w:b/>
                <w:i w:val="0"/>
                <w:color w:val="1A1A1A"/>
                <w:sz w:val="19"/>
              </w:rPr>
              <w:t>Can they code?</w:t>
            </w:r>
            <w:r>
              <w:rPr>
                <w:i w:val="0"/>
                <w:color w:val="1A1A1A"/>
                <w:sz w:val="19"/>
              </w:rPr>
              <w:t xml:space="preserve"> More than 90% = success, under 50% = failure (section 8) — plus a trial class with real pupils in March</w:t>
            </w:r>
          </w:p>
        </w:tc>
      </w:tr>
      <w:tr>
        <w:tc>
          <w:tcPr>
            <w:tcW w:type="dxa" w:w="1600"/>
          </w:tcPr>
          <w:p>
            <w:pPr>
              <w:spacing w:after="40" w:before="40"/>
            </w:pPr>
            <w:r/>
            <w:r>
              <w:rPr>
                <w:i w:val="0"/>
                <w:color w:val="1A1A1A"/>
                <w:sz w:val="19"/>
              </w:rPr>
              <w:t>Status</w:t>
            </w:r>
          </w:p>
        </w:tc>
        <w:tc>
          <w:tcPr>
            <w:tcW w:type="dxa" w:w="7811"/>
          </w:tcPr>
          <w:p>
            <w:pPr>
              <w:spacing w:after="40" w:before="40"/>
            </w:pPr>
            <w:r/>
            <w:r>
              <w:rPr>
                <w:i w:val="0"/>
                <w:color w:val="1A1A1A"/>
                <w:sz w:val="19"/>
              </w:rPr>
              <w:t xml:space="preserve">Part 1 materials complete and verified. </w:t>
            </w:r>
            <w:r>
              <w:rPr>
                <w:b/>
                <w:i w:val="0"/>
                <w:color w:val="1A1A1A"/>
                <w:sz w:val="19"/>
              </w:rPr>
              <w:t>Not yet taught to a cohort.</w:t>
            </w:r>
            <w:r>
              <w:rPr>
                <w:i w:val="0"/>
                <w:color w:val="1A1A1A"/>
                <w:sz w:val="19"/>
              </w:rPr>
              <w:t xml:space="preserve"> Part 2 is a vision</w:t>
            </w:r>
          </w:p>
        </w:tc>
      </w:tr>
      <w:tr>
        <w:tc>
          <w:tcPr>
            <w:tcW w:type="dxa" w:w="1600"/>
            <w:shd w:val="clear" w:fill="EEF2F7"/>
          </w:tcPr>
          <w:p>
            <w:pPr>
              <w:spacing w:after="40" w:before="40"/>
            </w:pPr>
            <w:r/>
            <w:r>
              <w:rPr>
                <w:i w:val="0"/>
                <w:color w:val="1A1A1A"/>
                <w:sz w:val="19"/>
              </w:rPr>
              <w:t>Version</w:t>
            </w:r>
          </w:p>
        </w:tc>
        <w:tc>
          <w:tcPr>
            <w:tcW w:type="dxa" w:w="7811"/>
            <w:shd w:val="clear" w:fill="EEF2F7"/>
          </w:tcPr>
          <w:p>
            <w:pPr>
              <w:spacing w:after="40" w:before="40"/>
            </w:pPr>
            <w:r/>
            <w:r>
              <w:rPr>
                <w:i w:val="0"/>
                <w:color w:val="1A1A1A"/>
                <w:sz w:val="19"/>
              </w:rPr>
              <w:t>1.8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i w:val="0"/>
                <w:color w:val="1A1A1A"/>
                <w:sz w:val="20"/>
              </w:rPr>
              <w:t>Sections 3–6 answer what you asked: the method, the schedule, the curriculum and the expected results.</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i w:val="0"/>
          <w:color w:val="1A1A1A"/>
          <w:sz w:val="21"/>
        </w:rPr>
        <w:t xml:space="preserve">A programme for public-school teachers who have never written a line of code, </w:t>
      </w:r>
      <w:r>
        <w:rPr>
          <w:b/>
          <w:i w:val="0"/>
          <w:color w:val="1A1A1A"/>
          <w:sz w:val="21"/>
        </w:rPr>
        <w:t>in two parts: Part 1 teaches coding skills over two months; Part 2 covers algorithmic tasks and the theory Part 1 postponed, over four.</w:t>
      </w:r>
      <w:r>
        <w:rPr>
          <w:i w:val="0"/>
          <w:color w:val="1A1A1A"/>
          <w:sz w:val="21"/>
        </w:rPr>
        <w:t xml:space="preserve"> This dossier describes </w:t>
      </w:r>
      <w:r>
        <w:rPr>
          <w:b/>
          <w:i w:val="0"/>
          <w:color w:val="1A1A1A"/>
          <w:sz w:val="21"/>
        </w:rPr>
        <w:t>Part 1</w:t>
      </w:r>
      <w:r>
        <w:rPr>
          <w:i w:val="0"/>
          <w:color w:val="1A1A1A"/>
          <w:sz w:val="21"/>
        </w:rPr>
        <w:t xml:space="preserve">: twenty-four sessions, three a week for eight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Part 1 is a two-month experiment with a decision at the end, not a finished methodology.</w:t>
            </w:r>
            <w:r>
              <w:rPr>
                <w:i w:val="0"/>
                <w:color w:val="1A1A1A"/>
                <w:sz w:val="20"/>
              </w:rPr>
              <w:t xml:space="preserve"> It is built and verified. </w:t>
            </w:r>
            <w:r>
              <w:rPr>
                <w:b/>
                <w:i w:val="0"/>
                <w:color w:val="1A1A1A"/>
                <w:sz w:val="20"/>
              </w:rPr>
              <w:t>Part 2 — the four months that follow — is a vision that runs only if Part 1 succeeds</w:t>
            </w:r>
            <w:r>
              <w:rPr>
                <w:i w:val="0"/>
                <w:color w:val="1A1A1A"/>
                <w:sz w:val="20"/>
              </w:rPr>
              <w:t xml:space="preserve">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8</w:t>
            </w:r>
          </w:p>
        </w:tc>
        <w:tc>
          <w:tcPr>
            <w:tcW w:type="dxa" w:w="2729"/>
            <w:shd w:val="clear" w:fill="EEF2F7"/>
          </w:tcPr>
          <w:p>
            <w:pPr>
              <w:spacing w:after="40" w:before="40"/>
            </w:pPr>
            <w:r/>
            <w:r>
              <w:rPr>
                <w:i w:val="0"/>
                <w:color w:val="1A1A1A"/>
                <w:sz w:val="19"/>
              </w:rPr>
              <w:t>Find one student's grade by name</w:t>
            </w:r>
          </w:p>
        </w:tc>
        <w:tc>
          <w:tcPr>
            <w:tcW w:type="dxa" w:w="3200"/>
            <w:shd w:val="clear" w:fill="EEF2F7"/>
          </w:tcPr>
          <w:p>
            <w:pPr>
              <w:spacing w:after="40" w:before="40"/>
            </w:pPr>
            <w:r/>
            <w:r>
              <w:rPr>
                <w:i w:val="0"/>
                <w:color w:val="1A1A1A"/>
                <w:sz w:val="19"/>
              </w:rPr>
              <w:t>Two parallel lists, read by hand</w:t>
            </w:r>
          </w:p>
        </w:tc>
        <w:tc>
          <w:tcPr>
            <w:tcW w:type="dxa" w:w="2823"/>
            <w:shd w:val="clear" w:fill="EEF2F7"/>
          </w:tcPr>
          <w:p>
            <w:pPr>
              <w:spacing w:after="40" w:before="40"/>
            </w:pPr>
            <w:r/>
            <w:r>
              <w:rPr>
                <w:b/>
                <w:i w:val="0"/>
                <w:color w:val="1A1A1A"/>
                <w:sz w:val="19"/>
              </w:rPr>
              <w:t>Dictionaries</w:t>
            </w:r>
          </w:p>
        </w:tc>
      </w:tr>
      <w:tr>
        <w:tc>
          <w:tcPr>
            <w:tcW w:type="dxa" w:w="659"/>
          </w:tcPr>
          <w:p>
            <w:pPr>
              <w:spacing w:after="40" w:before="40"/>
            </w:pPr>
            <w:r/>
            <w:r>
              <w:rPr>
                <w:i w:val="0"/>
                <w:color w:val="1A1A1A"/>
                <w:sz w:val="19"/>
              </w:rPr>
              <w:t>11</w:t>
            </w:r>
          </w:p>
        </w:tc>
        <w:tc>
          <w:tcPr>
            <w:tcW w:type="dxa" w:w="2729"/>
          </w:tcPr>
          <w:p>
            <w:pPr>
              <w:spacing w:after="40" w:before="40"/>
            </w:pPr>
            <w:r/>
            <w:r>
              <w:rPr>
                <w:i w:val="0"/>
                <w:color w:val="1A1A1A"/>
                <w:sz w:val="19"/>
              </w:rPr>
              <w:t>Mark the whole class pass or fail</w:t>
            </w:r>
          </w:p>
        </w:tc>
        <w:tc>
          <w:tcPr>
            <w:tcW w:type="dxa" w:w="3200"/>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tcPr>
          <w:p>
            <w:pPr>
              <w:spacing w:after="40" w:before="40"/>
            </w:pPr>
            <w:r/>
            <w:r>
              <w:rPr>
                <w:b/>
                <w:i w:val="0"/>
                <w:color w:val="1A1A1A"/>
                <w:sz w:val="19"/>
              </w:rPr>
              <w:t>`for` loops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24 sessions, three times a week over eight weeks.</w:t>
      </w:r>
      <w:r>
        <w:rPr>
          <w:i w:val="0"/>
          <w:color w:val="1A1A1A"/>
          <w:sz w:val="21"/>
        </w:rPr>
        <w:t xml:space="preserve"> Sessions run </w:t>
      </w:r>
      <w:r>
        <w:rPr>
          <w:b/>
          <w:i w:val="0"/>
          <w:color w:val="1A1A1A"/>
          <w:sz w:val="21"/>
        </w:rPr>
        <w:t>75 minutes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One decision still settling</w:t>
            </w:r>
          </w:p>
          <w:p>
            <w:pPr>
              <w:spacing w:after="20"/>
            </w:pPr>
            <w:r>
              <w:rPr>
                <w:b/>
                <w:i w:val="0"/>
                <w:color w:val="1A1A1A"/>
                <w:sz w:val="20"/>
              </w:rPr>
              <w:t>Session length.</w:t>
            </w:r>
            <w:r>
              <w:rPr>
                <w:i w:val="0"/>
                <w:color w:val="1A1A1A"/>
                <w:sz w:val="20"/>
              </w:rPr>
              <w:t xml:space="preserve"> Sessions run 75 minutes, three times a week — 24 × 75 = 30 hours. Once the cohort has adapted we may move to two a week, or to three of 50 minutes; the day map and deliverables would not change.</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847"/>
        <w:gridCol w:w="1223"/>
        <w:gridCol w:w="5458"/>
        <w:gridCol w:w="1882"/>
      </w:tblGrid>
      <w:tr>
        <w:trPr>
          <w:tblHeader w:val="true"/>
        </w:trPr>
        <w:tc>
          <w:tcPr>
            <w:tcW w:type="dxa" w:w="847"/>
            <w:shd w:val="clear" w:fill="1F3A5F"/>
          </w:tcPr>
          <w:p>
            <w:pPr>
              <w:spacing w:after="40" w:before="40"/>
            </w:pPr>
            <w:r/>
            <w:r>
              <w:rPr>
                <w:b/>
                <w:color w:val="FFFFFF"/>
                <w:sz w:val="19"/>
              </w:rPr>
              <w:t>Week</w:t>
            </w:r>
          </w:p>
        </w:tc>
        <w:tc>
          <w:tcPr>
            <w:tcW w:type="dxa" w:w="1223"/>
            <w:shd w:val="clear" w:fill="1F3A5F"/>
          </w:tcPr>
          <w:p>
            <w:pPr>
              <w:spacing w:after="40" w:before="40"/>
            </w:pPr>
            <w:r/>
            <w:r>
              <w:rPr>
                <w:b/>
                <w:color w:val="FFFFFF"/>
                <w:sz w:val="19"/>
              </w:rPr>
              <w:t>Sessions</w:t>
            </w:r>
          </w:p>
        </w:tc>
        <w:tc>
          <w:tcPr>
            <w:tcW w:type="dxa" w:w="5458"/>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847"/>
          </w:tcPr>
          <w:p>
            <w:pPr>
              <w:spacing w:after="40" w:before="40"/>
            </w:pPr>
            <w:r/>
            <w:r>
              <w:rPr>
                <w:i w:val="0"/>
                <w:color w:val="1A1A1A"/>
                <w:sz w:val="19"/>
              </w:rPr>
              <w:t>1</w:t>
            </w:r>
          </w:p>
        </w:tc>
        <w:tc>
          <w:tcPr>
            <w:tcW w:type="dxa" w:w="1223"/>
          </w:tcPr>
          <w:p>
            <w:pPr>
              <w:spacing w:after="40" w:before="40"/>
            </w:pPr>
            <w:r/>
            <w:r>
              <w:rPr>
                <w:i w:val="0"/>
                <w:color w:val="1A1A1A"/>
                <w:sz w:val="19"/>
              </w:rPr>
              <w:t>1–3</w:t>
            </w:r>
          </w:p>
        </w:tc>
        <w:tc>
          <w:tcPr>
            <w:tcW w:type="dxa" w:w="5458"/>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day 1</w:t>
            </w:r>
          </w:p>
        </w:tc>
      </w:tr>
      <w:tr>
        <w:tc>
          <w:tcPr>
            <w:tcW w:type="dxa" w:w="847"/>
            <w:shd w:val="clear" w:fill="EEF2F7"/>
          </w:tcPr>
          <w:p>
            <w:pPr>
              <w:spacing w:after="40" w:before="40"/>
            </w:pPr>
            <w:r/>
            <w:r>
              <w:rPr>
                <w:i w:val="0"/>
                <w:color w:val="1A1A1A"/>
                <w:sz w:val="19"/>
              </w:rPr>
              <w:t>2</w:t>
            </w:r>
          </w:p>
        </w:tc>
        <w:tc>
          <w:tcPr>
            <w:tcW w:type="dxa" w:w="1223"/>
            <w:shd w:val="clear" w:fill="EEF2F7"/>
          </w:tcPr>
          <w:p>
            <w:pPr>
              <w:spacing w:after="40" w:before="40"/>
            </w:pPr>
            <w:r/>
            <w:r>
              <w:rPr>
                <w:i w:val="0"/>
                <w:color w:val="1A1A1A"/>
                <w:sz w:val="19"/>
              </w:rPr>
              <w:t>4–6</w:t>
            </w:r>
          </w:p>
        </w:tc>
        <w:tc>
          <w:tcPr>
            <w:tcW w:type="dxa" w:w="5458"/>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847"/>
          </w:tcPr>
          <w:p>
            <w:pPr>
              <w:spacing w:after="40" w:before="40"/>
            </w:pPr>
            <w:r/>
            <w:r>
              <w:rPr>
                <w:i w:val="0"/>
                <w:color w:val="1A1A1A"/>
                <w:sz w:val="19"/>
              </w:rPr>
              <w:t>3</w:t>
            </w:r>
          </w:p>
        </w:tc>
        <w:tc>
          <w:tcPr>
            <w:tcW w:type="dxa" w:w="1223"/>
          </w:tcPr>
          <w:p>
            <w:pPr>
              <w:spacing w:after="40" w:before="40"/>
            </w:pPr>
            <w:r/>
            <w:r>
              <w:rPr>
                <w:i w:val="0"/>
                <w:color w:val="1A1A1A"/>
                <w:sz w:val="19"/>
              </w:rPr>
              <w:t>7–9</w:t>
            </w:r>
          </w:p>
        </w:tc>
        <w:tc>
          <w:tcPr>
            <w:tcW w:type="dxa" w:w="5458"/>
          </w:tcPr>
          <w:p>
            <w:pPr>
              <w:spacing w:after="40" w:before="40"/>
            </w:pPr>
            <w:r/>
            <w:r>
              <w:rPr>
                <w:i w:val="0"/>
                <w:color w:val="1A1A1A"/>
                <w:sz w:val="19"/>
              </w:rPr>
              <w:t>The computer can make decisions</w:t>
            </w:r>
          </w:p>
        </w:tc>
        <w:tc>
          <w:tcPr>
            <w:tcW w:type="dxa" w:w="1882"/>
          </w:tcPr>
          <w:p>
            <w:pPr>
              <w:spacing w:after="40" w:before="40"/>
            </w:pPr>
            <w:r/>
          </w:p>
        </w:tc>
      </w:tr>
      <w:tr>
        <w:tc>
          <w:tcPr>
            <w:tcW w:type="dxa" w:w="847"/>
            <w:shd w:val="clear" w:fill="EEF2F7"/>
          </w:tcPr>
          <w:p>
            <w:pPr>
              <w:spacing w:after="40" w:before="40"/>
            </w:pPr>
            <w:r/>
            <w:r>
              <w:rPr>
                <w:i w:val="0"/>
                <w:color w:val="1A1A1A"/>
                <w:sz w:val="19"/>
              </w:rPr>
              <w:t>4</w:t>
            </w:r>
          </w:p>
        </w:tc>
        <w:tc>
          <w:tcPr>
            <w:tcW w:type="dxa" w:w="1223"/>
            <w:shd w:val="clear" w:fill="EEF2F7"/>
          </w:tcPr>
          <w:p>
            <w:pPr>
              <w:spacing w:after="40" w:before="40"/>
            </w:pPr>
            <w:r/>
            <w:r>
              <w:rPr>
                <w:i w:val="0"/>
                <w:color w:val="1A1A1A"/>
                <w:sz w:val="19"/>
              </w:rPr>
              <w:t>10–12</w:t>
            </w:r>
          </w:p>
        </w:tc>
        <w:tc>
          <w:tcPr>
            <w:tcW w:type="dxa" w:w="5458"/>
            <w:shd w:val="clear" w:fill="EEF2F7"/>
          </w:tcPr>
          <w:p>
            <w:pPr>
              <w:spacing w:after="40" w:before="40"/>
            </w:pPr>
            <w:r/>
            <w:r>
              <w:rPr>
                <w:i w:val="0"/>
                <w:color w:val="1A1A1A"/>
                <w:sz w:val="19"/>
              </w:rPr>
              <w:t>One loop marks thirty students</w:t>
            </w:r>
          </w:p>
        </w:tc>
        <w:tc>
          <w:tcPr>
            <w:tcW w:type="dxa" w:w="1882"/>
            <w:shd w:val="clear" w:fill="EEF2F7"/>
          </w:tcPr>
          <w:p>
            <w:pPr>
              <w:spacing w:after="40" w:before="40"/>
            </w:pPr>
            <w:r/>
            <w:r>
              <w:rPr>
                <w:b/>
                <w:i w:val="0"/>
                <w:color w:val="1A1A1A"/>
                <w:sz w:val="19"/>
              </w:rPr>
              <w:t>Midpoint</w:t>
            </w:r>
          </w:p>
        </w:tc>
      </w:tr>
      <w:tr>
        <w:tc>
          <w:tcPr>
            <w:tcW w:type="dxa" w:w="847"/>
          </w:tcPr>
          <w:p>
            <w:pPr>
              <w:spacing w:after="40" w:before="40"/>
            </w:pPr>
            <w:r/>
            <w:r>
              <w:rPr>
                <w:i w:val="0"/>
                <w:color w:val="1A1A1A"/>
                <w:sz w:val="19"/>
              </w:rPr>
              <w:t>5</w:t>
            </w:r>
          </w:p>
        </w:tc>
        <w:tc>
          <w:tcPr>
            <w:tcW w:type="dxa" w:w="1223"/>
          </w:tcPr>
          <w:p>
            <w:pPr>
              <w:spacing w:after="40" w:before="40"/>
            </w:pPr>
            <w:r/>
            <w:r>
              <w:rPr>
                <w:i w:val="0"/>
                <w:color w:val="1A1A1A"/>
                <w:sz w:val="19"/>
              </w:rPr>
              <w:t>13–15</w:t>
            </w:r>
          </w:p>
        </w:tc>
        <w:tc>
          <w:tcPr>
            <w:tcW w:type="dxa" w:w="5458"/>
          </w:tcPr>
          <w:p>
            <w:pPr>
              <w:spacing w:after="40" w:before="40"/>
            </w:pPr>
            <w:r/>
            <w:r>
              <w:rPr>
                <w:i w:val="0"/>
                <w:color w:val="1A1A1A"/>
                <w:sz w:val="19"/>
              </w:rPr>
              <w:t>I can find any student by name</w:t>
            </w:r>
          </w:p>
        </w:tc>
        <w:tc>
          <w:tcPr>
            <w:tcW w:type="dxa" w:w="1882"/>
          </w:tcPr>
          <w:p>
            <w:pPr>
              <w:spacing w:after="40" w:before="40"/>
            </w:pPr>
            <w:r/>
          </w:p>
        </w:tc>
      </w:tr>
      <w:tr>
        <w:tc>
          <w:tcPr>
            <w:tcW w:type="dxa" w:w="847"/>
            <w:shd w:val="clear" w:fill="EEF2F7"/>
          </w:tcPr>
          <w:p>
            <w:pPr>
              <w:spacing w:after="40" w:before="40"/>
            </w:pPr>
            <w:r/>
            <w:r>
              <w:rPr>
                <w:i w:val="0"/>
                <w:color w:val="1A1A1A"/>
                <w:sz w:val="19"/>
              </w:rPr>
              <w:t>6</w:t>
            </w:r>
          </w:p>
        </w:tc>
        <w:tc>
          <w:tcPr>
            <w:tcW w:type="dxa" w:w="1223"/>
            <w:shd w:val="clear" w:fill="EEF2F7"/>
          </w:tcPr>
          <w:p>
            <w:pPr>
              <w:spacing w:after="40" w:before="40"/>
            </w:pPr>
            <w:r/>
            <w:r>
              <w:rPr>
                <w:i w:val="0"/>
                <w:color w:val="1A1A1A"/>
                <w:sz w:val="19"/>
              </w:rPr>
              <w:t>16–18</w:t>
            </w:r>
          </w:p>
        </w:tc>
        <w:tc>
          <w:tcPr>
            <w:tcW w:type="dxa" w:w="5458"/>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847"/>
          </w:tcPr>
          <w:p>
            <w:pPr>
              <w:spacing w:after="40" w:before="40"/>
            </w:pPr>
            <w:r/>
            <w:r>
              <w:rPr>
                <w:i w:val="0"/>
                <w:color w:val="1A1A1A"/>
                <w:sz w:val="19"/>
              </w:rPr>
              <w:t>7</w:t>
            </w:r>
          </w:p>
        </w:tc>
        <w:tc>
          <w:tcPr>
            <w:tcW w:type="dxa" w:w="1223"/>
          </w:tcPr>
          <w:p>
            <w:pPr>
              <w:spacing w:after="40" w:before="40"/>
            </w:pPr>
            <w:r/>
            <w:r>
              <w:rPr>
                <w:i w:val="0"/>
                <w:color w:val="1A1A1A"/>
                <w:sz w:val="19"/>
              </w:rPr>
              <w:t>19–21</w:t>
            </w:r>
          </w:p>
        </w:tc>
        <w:tc>
          <w:tcPr>
            <w:tcW w:type="dxa" w:w="5458"/>
          </w:tcPr>
          <w:p>
            <w:pPr>
              <w:spacing w:after="40" w:before="40"/>
            </w:pPr>
            <w:r/>
            <w:r>
              <w:rPr>
                <w:i w:val="0"/>
                <w:color w:val="1A1A1A"/>
                <w:sz w:val="19"/>
              </w:rPr>
              <w:t>It is a program now, not a notebook</w:t>
            </w:r>
          </w:p>
        </w:tc>
        <w:tc>
          <w:tcPr>
            <w:tcW w:type="dxa" w:w="1882"/>
          </w:tcPr>
          <w:p>
            <w:pPr>
              <w:spacing w:after="40" w:before="40"/>
            </w:pPr>
            <w:r/>
          </w:p>
        </w:tc>
      </w:tr>
      <w:tr>
        <w:tc>
          <w:tcPr>
            <w:tcW w:type="dxa" w:w="847"/>
            <w:shd w:val="clear" w:fill="EEF2F7"/>
          </w:tcPr>
          <w:p>
            <w:pPr>
              <w:spacing w:after="40" w:before="40"/>
            </w:pPr>
            <w:r/>
            <w:r>
              <w:rPr>
                <w:i w:val="0"/>
                <w:color w:val="1A1A1A"/>
                <w:sz w:val="19"/>
              </w:rPr>
              <w:t>8</w:t>
            </w:r>
          </w:p>
        </w:tc>
        <w:tc>
          <w:tcPr>
            <w:tcW w:type="dxa" w:w="1223"/>
            <w:shd w:val="clear" w:fill="EEF2F7"/>
          </w:tcPr>
          <w:p>
            <w:pPr>
              <w:spacing w:after="40" w:before="40"/>
            </w:pPr>
            <w:r/>
            <w:r>
              <w:rPr>
                <w:i w:val="0"/>
                <w:color w:val="1A1A1A"/>
                <w:sz w:val="19"/>
              </w:rPr>
              <w:t>22–24</w:t>
            </w:r>
          </w:p>
        </w:tc>
        <w:tc>
          <w:tcPr>
            <w:tcW w:type="dxa" w:w="5458"/>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days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75-minute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xml:space="preserve"> that the next session never assumes was done. The four assessments are take-home and consume no session time.</w:t>
      </w:r>
    </w:p>
    <w:p>
      <w:r>
        <w:br w:type="page"/>
      </w:r>
    </w:p>
    <w:p>
      <w:pPr>
        <w:pStyle w:val="Heading1"/>
        <w:pBdr>
          <w:bottom w:val="single" w:sz="6" w:space="4" w:color="1F3A5F"/>
        </w:pBdr>
      </w:pPr>
      <w:r>
        <w:t>5.  Curriculum — the twenty-four sessions</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w:t>
      </w:r>
      <w:r>
        <w:rPr>
          <w:b/>
          <w:i w:val="0"/>
          <w:color w:val="1A1A1A"/>
          <w:sz w:val="21"/>
        </w:rPr>
        <w:t>D</w:t>
      </w:r>
      <w:r>
        <w:rPr>
          <w:i w:val="0"/>
          <w:color w:val="1A1A1A"/>
          <w:sz w:val="21"/>
        </w:rPr>
        <w:t xml:space="preserve"> marks a discovery day,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Day</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Session</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 and two near-relatives</w:t>
            </w:r>
          </w:p>
        </w:tc>
        <w:tc>
          <w:tcPr>
            <w:tcW w:type="dxa" w:w="4988"/>
          </w:tcPr>
          <w:p>
            <w:pPr>
              <w:spacing w:after="40" w:before="40"/>
            </w:pPr>
            <w:r/>
            <w:r>
              <w:rPr>
                <w:i w:val="0"/>
                <w:color w:val="1A1A1A"/>
                <w:sz w:val="17"/>
              </w:rPr>
              <w:t>A sorted class list, plus the same names as a tuple and a set</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The first decision</w:t>
            </w:r>
          </w:p>
        </w:tc>
        <w:tc>
          <w:tcPr>
            <w:tcW w:type="dxa" w:w="4988"/>
          </w:tcPr>
          <w:p>
            <w:pPr>
              <w:spacing w:after="40" w:before="40"/>
            </w:pPr>
            <w:r/>
            <w:r>
              <w:rPr>
                <w:i w:val="0"/>
                <w:color w:val="1A1A1A"/>
                <w:sz w:val="17"/>
              </w:rPr>
              <w:t>Pass or fail, on their own school's pass mark</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More than two outcomes</w:t>
            </w:r>
          </w:p>
        </w:tc>
        <w:tc>
          <w:tcPr>
            <w:tcW w:type="dxa" w:w="4988"/>
            <w:shd w:val="clear" w:fill="EEF2F7"/>
          </w:tcPr>
          <w:p>
            <w:pPr>
              <w:spacing w:after="40" w:before="40"/>
            </w:pPr>
            <w:r/>
            <w:r>
              <w:rPr>
                <w:i w:val="0"/>
                <w:color w:val="1A1A1A"/>
                <w:sz w:val="17"/>
              </w:rPr>
              <w:t>A grade sorted into four named bands</w:t>
            </w:r>
          </w:p>
        </w:tc>
      </w:tr>
      <w:tr>
        <w:tc>
          <w:tcPr>
            <w:tcW w:type="dxa" w:w="471"/>
          </w:tcPr>
          <w:p>
            <w:pPr>
              <w:spacing w:after="40" w:before="40"/>
            </w:pPr>
            <w:r/>
            <w:r>
              <w:rPr>
                <w:i w:val="0"/>
                <w:color w:val="1A1A1A"/>
                <w:sz w:val="17"/>
              </w:rPr>
              <w:t>11</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Marking the whole class</w:t>
            </w:r>
          </w:p>
        </w:tc>
        <w:tc>
          <w:tcPr>
            <w:tcW w:type="dxa" w:w="4988"/>
          </w:tcPr>
          <w:p>
            <w:pPr>
              <w:spacing w:after="40" w:before="40"/>
            </w:pPr>
            <w:r/>
            <w:r>
              <w:rPr>
                <w:i w:val="0"/>
                <w:color w:val="1A1A1A"/>
                <w:sz w:val="17"/>
              </w:rPr>
              <w:t>The whole register marked, in four lines</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Counting and totalling</w:t>
            </w:r>
          </w:p>
        </w:tc>
        <w:tc>
          <w:tcPr>
            <w:tcW w:type="dxa" w:w="4988"/>
            <w:shd w:val="clear" w:fill="EEF2F7"/>
          </w:tcPr>
          <w:p>
            <w:pPr>
              <w:spacing w:after="40" w:before="40"/>
            </w:pPr>
            <w:r/>
            <w:r>
              <w:rPr>
                <w:i w:val="0"/>
                <w:color w:val="1A1A1A"/>
                <w:sz w:val="17"/>
              </w:rPr>
              <w:t>Their own class average, computed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Loops that decide</w:t>
            </w:r>
          </w:p>
        </w:tc>
        <w:tc>
          <w:tcPr>
            <w:tcW w:type="dxa" w:w="4988"/>
          </w:tcPr>
          <w:p>
            <w:pPr>
              <w:spacing w:after="40" w:before="40"/>
            </w:pPr>
            <w:r/>
            <w:r>
              <w:rPr>
                <w:i w:val="0"/>
                <w:color w:val="1A1A1A"/>
                <w:sz w:val="17"/>
              </w:rPr>
              <w:t>Who failed, how many passed, the highest grade</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Reports from the register</w:t>
            </w:r>
          </w:p>
        </w:tc>
        <w:tc>
          <w:tcPr>
            <w:tcW w:type="dxa" w:w="4988"/>
            <w:shd w:val="clear" w:fill="EEF2F7"/>
          </w:tcPr>
          <w:p>
            <w:pPr>
              <w:spacing w:after="40" w:before="40"/>
            </w:pPr>
            <w:r/>
            <w:r>
              <w:rPr>
                <w:i w:val="0"/>
                <w:color w:val="1A1A1A"/>
                <w:sz w:val="17"/>
              </w:rPr>
              <w:t>A printed register line per student, columns aligned</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Several grades per student</w:t>
            </w:r>
          </w:p>
        </w:tc>
        <w:tc>
          <w:tcPr>
            <w:tcW w:type="dxa" w:w="4988"/>
          </w:tcPr>
          <w:p>
            <w:pPr>
              <w:spacing w:after="40" w:before="40"/>
            </w:pPr>
            <w:r/>
            <w:r>
              <w:rPr>
                <w:i w:val="0"/>
                <w:color w:val="1A1A1A"/>
                <w:sz w:val="17"/>
              </w:rPr>
              <w:t>A report card per student with three grades each</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Entering grades one by one</w:t>
            </w:r>
          </w:p>
        </w:tc>
        <w:tc>
          <w:tcPr>
            <w:tcW w:type="dxa" w:w="4988"/>
            <w:shd w:val="clear" w:fill="EEF2F7"/>
          </w:tcPr>
          <w:p>
            <w:pPr>
              <w:spacing w:after="40" w:before="40"/>
            </w:pPr>
            <w:r/>
            <w:r>
              <w:rPr>
                <w:i w:val="0"/>
                <w:color w:val="1A1A1A"/>
                <w:sz w:val="17"/>
              </w:rPr>
              <w:t>A loop that collects grades until told to stop</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Days 1–19 use Jupyter notebooks; days 20–24 use plain Python files with a written guide beside them, because by then the participants are running a terminal. Day 19 doubles as the catch-up session — nothing new arrives, so anyone who has fallen behind has a session to recover in.</w:t>
      </w:r>
    </w:p>
    <w:p>
      <w:pPr>
        <w:pStyle w:val="Heading2"/>
      </w:pPr>
      <w:r>
        <w:t>Alignment with the state curriculum</w:t>
      </w:r>
    </w:p>
    <w:p>
      <w:pPr>
        <w:spacing w:after="140"/>
      </w:pPr>
      <w:r>
        <w:rPr>
          <w:i w:val="0"/>
          <w:color w:val="1A1A1A"/>
          <w:sz w:val="21"/>
        </w:rPr>
        <w:t xml:space="preserve">Our teachers must be able to deliver </w:t>
      </w:r>
      <w:r>
        <w:rPr>
          <w:b/>
          <w:i w:val="0"/>
          <w:color w:val="1A1A1A"/>
          <w:sz w:val="21"/>
        </w:rPr>
        <w:t>«ԱԲ սերունդ»: Computer Science in Python</w:t>
      </w:r>
      <w:r>
        <w:rPr>
          <w:i w:val="0"/>
          <w:color w:val="1A1A1A"/>
          <w:sz w:val="21"/>
        </w:rPr>
        <w:t>, approved by order 1875 of 09.09.2026 — a 24-topic, 193-hour curriculum for pupils in grades 10 and 11. Our programme is not a compressed copy of it; it is the preparation that makes delivering it possible.</w:t>
      </w:r>
    </w:p>
    <w:tbl>
      <w:tblPr>
        <w:tblStyle w:val="TableGrid"/>
        <w:tblW w:type="auto" w:w="0"/>
        <w:jc w:val="center"/>
        <w:tblLayout w:type="fixed"/>
        <w:tblLook w:firstColumn="1" w:firstRow="1" w:lastColumn="0" w:lastRow="0" w:noHBand="0" w:noVBand="1" w:val="04A0"/>
      </w:tblPr>
      <w:tblGrid>
        <w:gridCol w:w="4141"/>
        <w:gridCol w:w="1318"/>
        <w:gridCol w:w="3953"/>
      </w:tblGrid>
      <w:tr>
        <w:trPr>
          <w:tblHeader w:val="true"/>
        </w:trPr>
        <w:tc>
          <w:tcPr>
            <w:tcW w:type="dxa" w:w="4141"/>
            <w:shd w:val="clear" w:fill="1F3A5F"/>
          </w:tcPr>
          <w:p>
            <w:pPr>
              <w:spacing w:after="40" w:before="40"/>
            </w:pPr>
            <w:r/>
            <w:r>
              <w:rPr>
                <w:b/>
                <w:color w:val="FFFFFF"/>
                <w:sz w:val="19"/>
              </w:rPr>
              <w:t>State curriculum</w:t>
            </w:r>
          </w:p>
        </w:tc>
        <w:tc>
          <w:tcPr>
            <w:tcW w:type="dxa" w:w="1318"/>
            <w:shd w:val="clear" w:fill="1F3A5F"/>
          </w:tcPr>
          <w:p>
            <w:pPr>
              <w:spacing w:after="40" w:before="40"/>
            </w:pPr>
            <w:r/>
            <w:r>
              <w:rPr>
                <w:b/>
                <w:color w:val="FFFFFF"/>
                <w:sz w:val="19"/>
              </w:rPr>
              <w:t>Pupil hours</w:t>
            </w:r>
          </w:p>
        </w:tc>
        <w:tc>
          <w:tcPr>
            <w:tcW w:type="dxa" w:w="3953"/>
            <w:shd w:val="clear" w:fill="1F3A5F"/>
          </w:tcPr>
          <w:p>
            <w:pPr>
              <w:spacing w:after="40" w:before="40"/>
            </w:pPr>
            <w:r/>
            <w:r>
              <w:rPr>
                <w:b/>
                <w:color w:val="FFFFFF"/>
                <w:sz w:val="19"/>
              </w:rPr>
              <w:t>Covered by</w:t>
            </w:r>
          </w:p>
        </w:tc>
      </w:tr>
      <w:tr>
        <w:tc>
          <w:tcPr>
            <w:tcW w:type="dxa" w:w="4141"/>
          </w:tcPr>
          <w:p>
            <w:pPr>
              <w:spacing w:after="40" w:before="40"/>
            </w:pPr>
            <w:r/>
            <w:r>
              <w:rPr>
                <w:i w:val="0"/>
                <w:color w:val="1A1A1A"/>
                <w:sz w:val="19"/>
              </w:rPr>
              <w:t>Grade 10 · S1 — fundamentals (topics 1–12)</w:t>
            </w:r>
          </w:p>
        </w:tc>
        <w:tc>
          <w:tcPr>
            <w:tcW w:type="dxa" w:w="1318"/>
          </w:tcPr>
          <w:p>
            <w:pPr>
              <w:spacing w:after="40" w:before="40"/>
            </w:pPr>
            <w:r/>
            <w:r>
              <w:rPr>
                <w:i w:val="0"/>
                <w:color w:val="1A1A1A"/>
                <w:sz w:val="19"/>
              </w:rPr>
              <w:t>60</w:t>
            </w:r>
          </w:p>
        </w:tc>
        <w:tc>
          <w:tcPr>
            <w:tcW w:type="dxa" w:w="3953"/>
          </w:tcPr>
          <w:p>
            <w:pPr>
              <w:spacing w:after="40" w:before="40"/>
            </w:pPr>
            <w:r/>
            <w:r>
              <w:rPr>
                <w:b/>
                <w:i w:val="0"/>
                <w:color w:val="1A1A1A"/>
                <w:sz w:val="19"/>
              </w:rPr>
              <w:t>Part 1</w:t>
            </w:r>
            <w:r>
              <w:rPr>
                <w:i w:val="0"/>
                <w:color w:val="1A1A1A"/>
                <w:sz w:val="19"/>
              </w:rPr>
              <w:t>, days 1–11</w:t>
            </w:r>
          </w:p>
        </w:tc>
      </w:tr>
      <w:tr>
        <w:tc>
          <w:tcPr>
            <w:tcW w:type="dxa" w:w="4141"/>
            <w:shd w:val="clear" w:fill="EEF2F7"/>
          </w:tcPr>
          <w:p>
            <w:pPr>
              <w:spacing w:after="40" w:before="40"/>
            </w:pPr>
            <w:r/>
            <w:r>
              <w:rPr>
                <w:i w:val="0"/>
                <w:color w:val="1A1A1A"/>
                <w:sz w:val="19"/>
              </w:rPr>
              <w:t>Grade 10 · S2 — intermediate (topics 13–17)</w:t>
            </w:r>
          </w:p>
        </w:tc>
        <w:tc>
          <w:tcPr>
            <w:tcW w:type="dxa" w:w="1318"/>
            <w:shd w:val="clear" w:fill="EEF2F7"/>
          </w:tcPr>
          <w:p>
            <w:pPr>
              <w:spacing w:after="40" w:before="40"/>
            </w:pPr>
            <w:r/>
            <w:r>
              <w:rPr>
                <w:i w:val="0"/>
                <w:color w:val="1A1A1A"/>
                <w:sz w:val="19"/>
              </w:rPr>
              <w:t>65</w:t>
            </w:r>
          </w:p>
        </w:tc>
        <w:tc>
          <w:tcPr>
            <w:tcW w:type="dxa" w:w="3953"/>
            <w:shd w:val="clear" w:fill="EEF2F7"/>
          </w:tcPr>
          <w:p>
            <w:pPr>
              <w:spacing w:after="40" w:before="40"/>
            </w:pPr>
            <w:r/>
            <w:r>
              <w:rPr>
                <w:b/>
                <w:i w:val="0"/>
                <w:color w:val="1A1A1A"/>
                <w:sz w:val="19"/>
              </w:rPr>
              <w:t>Part 1</w:t>
            </w:r>
            <w:r>
              <w:rPr>
                <w:i w:val="0"/>
                <w:color w:val="1A1A1A"/>
                <w:sz w:val="19"/>
              </w:rPr>
              <w:t xml:space="preserve"> for functions and files; </w:t>
            </w:r>
            <w:r>
              <w:rPr>
                <w:b/>
                <w:i w:val="0"/>
                <w:color w:val="1A1A1A"/>
                <w:sz w:val="19"/>
              </w:rPr>
              <w:t>Part 2</w:t>
            </w:r>
            <w:r>
              <w:rPr>
                <w:i w:val="0"/>
                <w:color w:val="1A1A1A"/>
                <w:sz w:val="19"/>
              </w:rPr>
              <w:t xml:space="preserve"> for advanced functions and recursion</w:t>
            </w:r>
          </w:p>
        </w:tc>
      </w:tr>
      <w:tr>
        <w:tc>
          <w:tcPr>
            <w:tcW w:type="dxa" w:w="4141"/>
          </w:tcPr>
          <w:p>
            <w:pPr>
              <w:spacing w:after="40" w:before="40"/>
            </w:pPr>
            <w:r/>
            <w:r>
              <w:rPr>
                <w:i w:val="0"/>
                <w:color w:val="1A1A1A"/>
                <w:sz w:val="19"/>
              </w:rPr>
              <w:t>Grade 11 · S1 — classes and inheritance (18–20)</w:t>
            </w:r>
          </w:p>
        </w:tc>
        <w:tc>
          <w:tcPr>
            <w:tcW w:type="dxa" w:w="1318"/>
          </w:tcPr>
          <w:p>
            <w:pPr>
              <w:spacing w:after="40" w:before="40"/>
            </w:pPr>
            <w:r/>
            <w:r>
              <w:rPr>
                <w:i w:val="0"/>
                <w:color w:val="1A1A1A"/>
                <w:sz w:val="19"/>
              </w:rPr>
              <w:t>30</w:t>
            </w:r>
          </w:p>
        </w:tc>
        <w:tc>
          <w:tcPr>
            <w:tcW w:type="dxa" w:w="3953"/>
          </w:tcPr>
          <w:p>
            <w:pPr>
              <w:spacing w:after="40" w:before="40"/>
            </w:pPr>
            <w:r/>
            <w:r>
              <w:rPr>
                <w:b/>
                <w:i w:val="0"/>
                <w:color w:val="1A1A1A"/>
                <w:sz w:val="19"/>
              </w:rPr>
              <w:t>Part 2</w:t>
            </w:r>
            <w:r>
              <w:rPr>
                <w:i w:val="0"/>
                <w:color w:val="1A1A1A"/>
                <w:sz w:val="19"/>
              </w:rPr>
              <w:t>, stage 5</w:t>
            </w:r>
          </w:p>
        </w:tc>
      </w:tr>
      <w:tr>
        <w:tc>
          <w:tcPr>
            <w:tcW w:type="dxa" w:w="4141"/>
            <w:shd w:val="clear" w:fill="EEF2F7"/>
          </w:tcPr>
          <w:p>
            <w:pPr>
              <w:spacing w:after="40" w:before="40"/>
            </w:pPr>
            <w:r/>
            <w:r>
              <w:rPr>
                <w:i w:val="0"/>
                <w:color w:val="1A1A1A"/>
                <w:sz w:val="19"/>
              </w:rPr>
              <w:t>Grade 11 · S2 — libraries, debugging, git (21–24)</w:t>
            </w:r>
          </w:p>
        </w:tc>
        <w:tc>
          <w:tcPr>
            <w:tcW w:type="dxa" w:w="1318"/>
            <w:shd w:val="clear" w:fill="EEF2F7"/>
          </w:tcPr>
          <w:p>
            <w:pPr>
              <w:spacing w:after="40" w:before="40"/>
            </w:pPr>
            <w:r/>
            <w:r>
              <w:rPr>
                <w:i w:val="0"/>
                <w:color w:val="1A1A1A"/>
                <w:sz w:val="19"/>
              </w:rPr>
              <w:t>38</w:t>
            </w:r>
          </w:p>
        </w:tc>
        <w:tc>
          <w:tcPr>
            <w:tcW w:type="dxa" w:w="3953"/>
            <w:shd w:val="clear" w:fill="EEF2F7"/>
          </w:tcPr>
          <w:p>
            <w:pPr>
              <w:spacing w:after="40" w:before="40"/>
            </w:pPr>
            <w:r/>
            <w:r>
              <w:rPr>
                <w:b/>
                <w:i w:val="0"/>
                <w:color w:val="1A1A1A"/>
                <w:sz w:val="19"/>
              </w:rPr>
              <w:t>Part 2</w:t>
            </w:r>
            <w:r>
              <w:rPr>
                <w:i w:val="0"/>
                <w:color w:val="1A1A1A"/>
                <w:sz w:val="19"/>
              </w:rPr>
              <w:t>, stage 6. Git remains out of scope pending Part 1's result</w:t>
            </w:r>
          </w:p>
        </w:tc>
      </w:tr>
    </w:tbl>
    <w:p>
      <w:pPr>
        <w:spacing w:after="80"/>
      </w:pPr>
    </w:p>
    <w:p>
      <w:pPr>
        <w:spacing w:after="140"/>
      </w:pPr>
      <w:r>
        <w:rPr>
          <w:b/>
          <w:i w:val="0"/>
          <w:color w:val="1A1A1A"/>
          <w:sz w:val="21"/>
        </w:rPr>
        <w:t>A teacher finishing Part 1 can deliver grade 10 semester 1 outright</w:t>
      </w:r>
      <w:r>
        <w:rPr>
          <w:i w:val="0"/>
          <w:color w:val="1A1A1A"/>
          <w:sz w:val="21"/>
        </w:rPr>
        <w:t xml:space="preserve">, and most of semester 2. Two orderings differ from the state document deliberately: we teach conditions before loops, and every data type before both, because our discovery sequence depends on having something worth looping over. </w:t>
      </w:r>
      <w:r>
        <w:rPr>
          <w:b/>
          <w:i w:val="0"/>
          <w:color w:val="1A1A1A"/>
          <w:sz w:val="21"/>
        </w:rPr>
        <w:t>Recursion stays before classes</w:t>
      </w:r>
      <w:r>
        <w:rPr>
          <w:i w:val="0"/>
          <w:color w:val="1A1A1A"/>
          <w:sz w:val="21"/>
        </w:rPr>
        <w:t>, as the state curriculum has it.</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Day 24</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24 teaching sessions remain 30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day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day 13</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Days 6–13</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Day 24</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Days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four-file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trial class in March — a second criterion</w:t>
      </w:r>
    </w:p>
    <w:p>
      <w:pPr>
        <w:spacing w:after="140"/>
      </w:pPr>
      <w:r>
        <w:rPr>
          <w:i w:val="0"/>
          <w:color w:val="1A1A1A"/>
          <w:sz w:val="21"/>
        </w:rPr>
        <w:t xml:space="preserve">After Part 1, </w:t>
      </w:r>
      <w:r>
        <w:rPr>
          <w:b/>
          <w:i w:val="0"/>
          <w:color w:val="1A1A1A"/>
          <w:sz w:val="21"/>
        </w:rPr>
        <w:t>each teacher takes a trial class with real pupils.</w:t>
      </w:r>
      <w:r>
        <w:rPr>
          <w:i w:val="0"/>
          <w:color w:val="1A1A1A"/>
          <w:sz w:val="21"/>
        </w:rPr>
        <w:t xml:space="preserve"> It measures something none of the assessments can: </w:t>
      </w:r>
      <w:r>
        <w:rPr>
          <w:b/>
          <w:i w:val="0"/>
          <w:color w:val="1A1A1A"/>
          <w:sz w:val="21"/>
        </w:rPr>
        <w:t>whether they can teach what they can code.</w:t>
      </w:r>
      <w:r>
        <w:rPr>
          <w:i w:val="0"/>
          <w:color w:val="1A1A1A"/>
          <w:sz w:val="21"/>
        </w:rPr>
        <w:t xml:space="preserve"> Those are different abilities, and a teacher can have either without the other.</w:t>
      </w:r>
    </w:p>
    <w:p>
      <w:pPr>
        <w:spacing w:after="140"/>
      </w:pPr>
      <w:r>
        <w:rPr>
          <w:i w:val="0"/>
          <w:color w:val="1A1A1A"/>
          <w:sz w:val="21"/>
        </w:rPr>
        <w:t xml:space="preserve">Nothing in the three written assessments would detect a teacher who writes correct code and cannot explain it to a fifteen-year-old — and that teacher cannot deliver the state curriculum, which is what the whole programme is for. </w:t>
      </w:r>
      <w:r>
        <w:rPr>
          <w:b/>
          <w:i w:val="0"/>
          <w:color w:val="1A1A1A"/>
          <w:sz w:val="21"/>
        </w:rPr>
        <w:t>It is reported separately from the coding criterion and is not averaged with it.</w:t>
      </w:r>
    </w:p>
    <w:p>
      <w:pPr>
        <w:spacing w:after="140"/>
      </w:pPr>
      <w:r>
        <w:rPr>
          <w:i w:val="0"/>
          <w:color w:val="1A1A1A"/>
          <w:sz w:val="21"/>
        </w:rPr>
        <w:t xml:space="preserve">Four things are recorded, kept deliberately light because a first lesson taught by a nervous adult is not a performance review: did the lesson happen and finish; did the </w:t>
      </w:r>
      <w:r>
        <w:rPr>
          <w:b/>
          <w:i w:val="0"/>
          <w:color w:val="1A1A1A"/>
          <w:sz w:val="21"/>
        </w:rPr>
        <w:t>pupils</w:t>
      </w:r>
      <w:r>
        <w:rPr>
          <w:i w:val="0"/>
          <w:color w:val="1A1A1A"/>
          <w:sz w:val="21"/>
        </w:rPr>
        <w:t xml:space="preserve"> run code themselves or did the teacher demonstrate throughout; </w:t>
      </w:r>
      <w:r>
        <w:rPr>
          <w:b/>
          <w:i w:val="0"/>
          <w:color w:val="1A1A1A"/>
          <w:sz w:val="21"/>
        </w:rPr>
        <w:t>could the teacher read a pupil's error message and act on it live</w:t>
      </w:r>
      <w:r>
        <w:rPr>
          <w:i w:val="0"/>
          <w:color w:val="1A1A1A"/>
          <w:sz w:val="21"/>
        </w:rPr>
        <w:t>; and one sentence from the teacher on what surprised them. The third is the most diagnostic — it is the skill our course drills from day 2 onward, and if it holds up in front of a class, the method transferred.</w:t>
      </w:r>
    </w:p>
    <w:p>
      <w:pPr>
        <w:pStyle w:val="Heading2"/>
      </w:pPr>
      <w:r>
        <w:t>The final assessment also decides who continues</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A gate, announced in advance</w:t>
            </w:r>
          </w:p>
          <w:p>
            <w:pPr>
              <w:spacing w:after="20"/>
            </w:pPr>
            <w:r>
              <w:rPr>
                <w:i w:val="0"/>
                <w:color w:val="1A1A1A"/>
                <w:sz w:val="20"/>
              </w:rPr>
              <w:t xml:space="preserve">Teachers meeting the "can code" bar continue to Part 2. Those who do not are </w:t>
            </w:r>
            <w:r>
              <w:rPr>
                <w:b/>
                <w:i w:val="0"/>
                <w:color w:val="1A1A1A"/>
                <w:sz w:val="20"/>
              </w:rPr>
              <w:t>offered Part 1 again</w:t>
            </w:r>
            <w:r>
              <w:rPr>
                <w:i w:val="0"/>
                <w:color w:val="1A1A1A"/>
                <w:sz w:val="20"/>
              </w:rPr>
              <w:t>, rather than carried into material that assumes fluency they do not have. The bar is the one defined above; the transfer question does not gate.</w:t>
            </w:r>
          </w:p>
          <w:p>
            <w:pPr>
              <w:spacing w:after="20"/>
            </w:pPr>
            <w:r>
              <w:rPr>
                <w:b/>
                <w:i w:val="0"/>
                <w:color w:val="1A1A1A"/>
                <w:sz w:val="20"/>
              </w:rPr>
              <w:t>This makes the last assessment consequential for the individual, so it is announced before the course starts</w:t>
            </w:r>
            <w:r>
              <w:rPr>
                <w:i w:val="0"/>
                <w:color w:val="1A1A1A"/>
                <w:sz w:val="20"/>
              </w:rPr>
              <w:t xml:space="preserve"> — in the recruitment text and at enrolment. People behave differently when they know, and discovering it afterwards would be unfair and would spoil the measurement.</w:t>
            </w:r>
          </w:p>
          <w:p>
            <w:pPr>
              <w:spacing w:after="20"/>
            </w:pPr>
            <w:r>
              <w:rPr>
                <w:i w:val="0"/>
                <w:color w:val="1A1A1A"/>
                <w:sz w:val="20"/>
              </w:rPr>
              <w:t xml:space="preserve">Being filtered out is not a judgement on the teacher. At 30 hours, with mixed laptops and a remote room, the likeliest reasons are time, equipment and attendance — so </w:t>
            </w:r>
            <w:r>
              <w:rPr>
                <w:b/>
                <w:i w:val="0"/>
                <w:color w:val="1A1A1A"/>
                <w:sz w:val="20"/>
              </w:rPr>
              <w:t>why</w:t>
            </w:r>
            <w:r>
              <w:rPr>
                <w:i w:val="0"/>
                <w:color w:val="1A1A1A"/>
                <w:sz w:val="20"/>
              </w:rPr>
              <w:t xml:space="preserve"> someone did not meet the bar is recorded, not just that they did not.</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75 minutes; the shortcut is promised in writing before the long half starts; the work is never framed as an ordeal. A participant who leaves day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Thirty hours is not much</w:t>
            </w:r>
            <w:r>
              <w:rPr>
                <w:i w:val="0"/>
                <w:color w:val="1A1A1A"/>
                <w:sz w:val="18"/>
              </w:rPr>
              <w:t>, in 75-minute pieces, for working teachers</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three a week for eight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Every session is self-contained; worked solutions published after each one; day 19 is a catch-up session with nothing new in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75-minute video call with screen sharing</w:t>
            </w:r>
            <w:r>
              <w:rPr>
                <w:i w:val="0"/>
                <w:color w:val="1A1A1A"/>
                <w:sz w:val="19"/>
              </w:rPr>
              <w:t>, three times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toolchain may change</w:t>
            </w:r>
          </w:p>
        </w:tc>
        <w:tc>
          <w:tcPr>
            <w:tcW w:type="dxa" w:w="6211"/>
            <w:shd w:val="clear" w:fill="EEF2F7"/>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30 hours enough</w:t>
      </w:r>
      <w:r>
        <w:rPr>
          <w:i w:val="0"/>
          <w:color w:val="1A1A1A"/>
          <w:sz w:val="21"/>
        </w:rPr>
        <w:t xml:space="preserve">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Between the parts — the trial class</w:t>
      </w:r>
    </w:p>
    <w:p>
      <w:pPr>
        <w:spacing w:after="140"/>
      </w:pPr>
      <w:r>
        <w:rPr>
          <w:b/>
          <w:i w:val="0"/>
          <w:color w:val="1A1A1A"/>
          <w:sz w:val="21"/>
        </w:rPr>
        <w:t>March.</w:t>
      </w:r>
      <w:r>
        <w:rPr>
          <w:i w:val="0"/>
          <w:color w:val="1A1A1A"/>
          <w:sz w:val="21"/>
        </w:rPr>
        <w:t xml:space="preserve"> Each teacher teaches one lesson to real pupils, after Part 1 and before any decision about Part 2. It is the only point in the programme that tests the thing the programme exists for, and it informs the decision below alongside the coding criterion.</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w:t>
            </w:r>
            <w:r>
              <w:rPr>
                <w:rFonts w:ascii="Consolas" w:hAnsi="Consolas"/>
                <w:i w:val="0"/>
                <w:color w:val="1A1A1A"/>
                <w:sz w:val="18"/>
              </w:rPr>
              <w:t>*args</w:t>
            </w:r>
            <w:r>
              <w:rPr>
                <w:i w:val="0"/>
                <w:color w:val="1A1A1A"/>
                <w:sz w:val="18"/>
              </w:rPr>
              <w:t>/</w:t>
            </w:r>
            <w:r>
              <w:rPr>
                <w:rFonts w:ascii="Consolas" w:hAnsi="Consolas"/>
                <w:i w:val="0"/>
                <w:color w:val="1A1A1A"/>
                <w:sz w:val="18"/>
              </w:rPr>
              <w:t>**kwargs</w:t>
            </w:r>
            <w:r>
              <w:rPr>
                <w:i w:val="0"/>
                <w:color w:val="1A1A1A"/>
                <w:sz w:val="18"/>
              </w:rPr>
              <w:t xml:space="preserve">, scope, comprehensions and </w:t>
            </w:r>
            <w:r>
              <w:rPr>
                <w:rFonts w:ascii="Consolas" w:hAnsi="Consolas"/>
                <w:i w:val="0"/>
                <w:color w:val="1A1A1A"/>
                <w:sz w:val="18"/>
              </w:rPr>
              <w:t>lambda</w:t>
            </w:r>
            <w:r>
              <w:rPr>
                <w:i w:val="0"/>
                <w:color w:val="1A1A1A"/>
                <w:sz w:val="18"/>
              </w:rPr>
              <w:t>,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two months of practice, the sequencing was right. State curriculum topic 16</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Recursion</w:t>
            </w:r>
          </w:p>
        </w:tc>
        <w:tc>
          <w:tcPr>
            <w:tcW w:type="dxa" w:w="5082"/>
            <w:shd w:val="clear" w:fill="EEF2F7"/>
          </w:tcPr>
          <w:p>
            <w:pPr>
              <w:spacing w:after="40" w:before="40"/>
            </w:pPr>
            <w:r/>
            <w:r>
              <w:rPr>
                <w:i w:val="0"/>
                <w:color w:val="1A1A1A"/>
                <w:sz w:val="18"/>
              </w:rPr>
              <w:t xml:space="preserve">Placed here for the same reason the state curriculum places it immediately after advanced functions: it is a fact about functions before it is a technique. </w:t>
            </w:r>
            <w:r>
              <w:rPr>
                <w:b/>
                <w:i w:val="0"/>
                <w:color w:val="1A1A1A"/>
                <w:sz w:val="18"/>
              </w:rPr>
              <w:t>Before classes</w:t>
            </w:r>
            <w:r>
              <w:rPr>
                <w:i w:val="0"/>
                <w:color w:val="1A1A1A"/>
                <w:sz w:val="18"/>
              </w:rPr>
              <w:t>, as the state curriculum has it. Topic 17</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shd w:val="clear" w:fill="EEF2F7"/>
          </w:tcPr>
          <w:p>
            <w:pPr>
              <w:spacing w:after="40" w:before="40"/>
            </w:pPr>
            <w:r/>
            <w:r>
              <w:rPr>
                <w:i w:val="0"/>
                <w:color w:val="1A1A1A"/>
                <w:sz w:val="18"/>
              </w:rPr>
              <w:t>Where structure starts to matter, and where a program becomes too big to hold in your head</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Objects and classes</w:t>
            </w:r>
            <w:r>
              <w:rPr>
                <w:i w:val="0"/>
                <w:color w:val="1A1A1A"/>
                <w:sz w:val="18"/>
              </w:rPr>
              <w:t>, including inheritance</w:t>
            </w:r>
          </w:p>
        </w:tc>
        <w:tc>
          <w:tcPr>
            <w:tcW w:type="dxa" w:w="5082"/>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4. Topics 18–19</w:t>
            </w:r>
          </w:p>
        </w:tc>
      </w:tr>
      <w:tr>
        <w:tc>
          <w:tcPr>
            <w:tcW w:type="dxa" w:w="565"/>
            <w:shd w:val="clear" w:fill="EEF2F7"/>
          </w:tcPr>
          <w:p>
            <w:pPr>
              <w:spacing w:after="40" w:before="40"/>
            </w:pPr>
            <w:r/>
            <w:r>
              <w:rPr>
                <w:i w:val="0"/>
                <w:color w:val="1A1A1A"/>
                <w:sz w:val="18"/>
              </w:rPr>
              <w:t>6</w:t>
            </w:r>
          </w:p>
        </w:tc>
        <w:tc>
          <w:tcPr>
            <w:tcW w:type="dxa" w:w="3764"/>
            <w:shd w:val="clear" w:fill="EEF2F7"/>
          </w:tcPr>
          <w:p>
            <w:pPr>
              <w:spacing w:after="40" w:before="40"/>
            </w:pPr>
            <w:r/>
            <w:r>
              <w:rPr>
                <w:b/>
                <w:i w:val="0"/>
                <w:color w:val="1A1A1A"/>
                <w:sz w:val="18"/>
              </w:rPr>
              <w:t>Libraries and environments</w:t>
            </w:r>
            <w:r>
              <w:rPr>
                <w:i w:val="0"/>
                <w:color w:val="1A1A1A"/>
                <w:sz w:val="18"/>
              </w:rPr>
              <w:t xml:space="preserve"> — </w:t>
            </w:r>
            <w:r>
              <w:rPr>
                <w:rFonts w:ascii="Consolas" w:hAnsi="Consolas"/>
                <w:i w:val="0"/>
                <w:color w:val="1A1A1A"/>
                <w:sz w:val="18"/>
              </w:rPr>
              <w:t>pip</w:t>
            </w:r>
            <w:r>
              <w:rPr>
                <w:i w:val="0"/>
                <w:color w:val="1A1A1A"/>
                <w:sz w:val="18"/>
              </w:rPr>
              <w:t>, NumPy, Matplotlib, pandas, Colab and Kaggle</w:t>
            </w:r>
          </w:p>
        </w:tc>
        <w:tc>
          <w:tcPr>
            <w:tcW w:type="dxa" w:w="5082"/>
            <w:shd w:val="clear" w:fill="EEF2F7"/>
          </w:tcPr>
          <w:p>
            <w:pPr>
              <w:spacing w:after="40" w:before="40"/>
            </w:pPr>
            <w:r/>
            <w:r>
              <w:rPr>
                <w:i w:val="0"/>
                <w:color w:val="1A1A1A"/>
                <w:sz w:val="18"/>
              </w:rPr>
              <w:t xml:space="preserve">Together the largest block in the state curriculum, and the bridge into the Artificial Intelligence subject beside Python. </w:t>
            </w:r>
            <w:r>
              <w:rPr>
                <w:b/>
                <w:i w:val="0"/>
                <w:color w:val="1A1A1A"/>
                <w:sz w:val="18"/>
              </w:rPr>
              <w:t>This stage deliberately breaks Part 1's standard-library-only rule</w:t>
            </w:r>
            <w:r>
              <w:rPr>
                <w:i w:val="0"/>
                <w:color w:val="1A1A1A"/>
                <w:sz w:val="18"/>
              </w:rPr>
              <w:t>, which has done its job by then. Topics 15 and 21</w:t>
            </w:r>
          </w:p>
        </w:tc>
      </w:tr>
    </w:tbl>
    <w:p>
      <w:pPr>
        <w:spacing w:after="80"/>
      </w:pPr>
    </w:p>
    <w:p>
      <w:pPr>
        <w:spacing w:after="140"/>
      </w:pPr>
      <w:r>
        <w:rPr>
          <w:b/>
          <w:i/>
          <w:color w:val="1A1A1A"/>
          <w:sz w:val="21"/>
        </w:rPr>
        <w:t>Git and version control</w:t>
      </w:r>
      <w:r>
        <w:rPr>
          <w:i/>
          <w:color w:val="1A1A1A"/>
          <w:sz w:val="21"/>
        </w:rPr>
        <w:t xml:space="preserve"> (state curriculum topic 23) stays out of scope and is revisited once Part 1 reports: if the cohort arrives at Part 2 comfortably, git and the remaining tooling go in; if not, the time is better spent elsewhere.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30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4423"/>
        <w:gridCol w:w="1223"/>
        <w:gridCol w:w="3764"/>
      </w:tblGrid>
      <w:tr>
        <w:trPr>
          <w:tblHeader w:val="true"/>
        </w:trPr>
        <w:tc>
          <w:tcPr>
            <w:tcW w:type="dxa" w:w="4423"/>
            <w:shd w:val="clear" w:fill="1F3A5F"/>
          </w:tcPr>
          <w:p>
            <w:pPr>
              <w:spacing w:after="40" w:before="40"/>
            </w:pPr>
            <w:r/>
            <w:r>
              <w:rPr>
                <w:b/>
                <w:color w:val="FFFFFF"/>
                <w:sz w:val="19"/>
              </w:rPr>
              <w:t>Material</w:t>
            </w:r>
          </w:p>
        </w:tc>
        <w:tc>
          <w:tcPr>
            <w:tcW w:type="dxa" w:w="1223"/>
            <w:shd w:val="clear" w:fill="1F3A5F"/>
          </w:tcPr>
          <w:p>
            <w:pPr>
              <w:spacing w:after="40" w:before="40"/>
            </w:pPr>
            <w:r/>
            <w:r>
              <w:rPr>
                <w:b/>
                <w:color w:val="FFFFFF"/>
                <w:sz w:val="19"/>
              </w:rPr>
              <w:t>Count</w:t>
            </w:r>
          </w:p>
        </w:tc>
        <w:tc>
          <w:tcPr>
            <w:tcW w:type="dxa" w:w="3764"/>
            <w:shd w:val="clear" w:fill="1F3A5F"/>
          </w:tcPr>
          <w:p>
            <w:pPr>
              <w:spacing w:after="40" w:before="40"/>
            </w:pPr>
            <w:r/>
            <w:r>
              <w:rPr>
                <w:b/>
                <w:color w:val="FFFFFF"/>
                <w:sz w:val="19"/>
              </w:rPr>
              <w:t>Audience</w:t>
            </w:r>
          </w:p>
        </w:tc>
      </w:tr>
      <w:tr>
        <w:tc>
          <w:tcPr>
            <w:tcW w:type="dxa" w:w="4423"/>
          </w:tcPr>
          <w:p>
            <w:pPr>
              <w:spacing w:after="40" w:before="40"/>
            </w:pPr>
            <w:r/>
            <w:r>
              <w:rPr>
                <w:i w:val="0"/>
                <w:color w:val="1A1A1A"/>
                <w:sz w:val="19"/>
              </w:rPr>
              <w:t>Lesson notebooks (days 1–19)</w:t>
            </w:r>
          </w:p>
        </w:tc>
        <w:tc>
          <w:tcPr>
            <w:tcW w:type="dxa" w:w="1223"/>
          </w:tcPr>
          <w:p>
            <w:pPr>
              <w:spacing w:after="40" w:before="40"/>
            </w:pPr>
            <w:r/>
            <w:r>
              <w:rPr>
                <w:i w:val="0"/>
                <w:color w:val="1A1A1A"/>
                <w:sz w:val="19"/>
              </w:rPr>
              <w:t>19</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Written guides (days 20–24)</w:t>
            </w:r>
          </w:p>
        </w:tc>
        <w:tc>
          <w:tcPr>
            <w:tcW w:type="dxa" w:w="1223"/>
            <w:shd w:val="clear" w:fill="EEF2F7"/>
          </w:tcPr>
          <w:p>
            <w:pPr>
              <w:spacing w:after="40" w:before="40"/>
            </w:pPr>
            <w:r/>
            <w:r>
              <w:rPr>
                <w:i w:val="0"/>
                <w:color w:val="1A1A1A"/>
                <w:sz w:val="19"/>
              </w:rPr>
              <w:t>5</w:t>
            </w:r>
          </w:p>
        </w:tc>
        <w:tc>
          <w:tcPr>
            <w:tcW w:type="dxa" w:w="3764"/>
            <w:shd w:val="clear" w:fill="EEF2F7"/>
          </w:tcPr>
          <w:p>
            <w:pPr>
              <w:spacing w:after="40" w:before="40"/>
            </w:pPr>
            <w:r/>
            <w:r>
              <w:rPr>
                <w:i w:val="0"/>
                <w:color w:val="1A1A1A"/>
                <w:sz w:val="19"/>
              </w:rPr>
              <w:t>Participant</w:t>
            </w:r>
          </w:p>
        </w:tc>
      </w:tr>
      <w:tr>
        <w:tc>
          <w:tcPr>
            <w:tcW w:type="dxa" w:w="4423"/>
          </w:tcPr>
          <w:p>
            <w:pPr>
              <w:spacing w:after="40" w:before="40"/>
            </w:pPr>
            <w:r/>
            <w:r>
              <w:rPr>
                <w:i w:val="0"/>
                <w:color w:val="1A1A1A"/>
                <w:sz w:val="19"/>
              </w:rPr>
              <w:t>Worked solutions</w:t>
            </w:r>
          </w:p>
        </w:tc>
        <w:tc>
          <w:tcPr>
            <w:tcW w:type="dxa" w:w="1223"/>
          </w:tcPr>
          <w:p>
            <w:pPr>
              <w:spacing w:after="40" w:before="40"/>
            </w:pPr>
            <w:r/>
            <w:r>
              <w:rPr>
                <w:i w:val="0"/>
                <w:color w:val="1A1A1A"/>
                <w:sz w:val="19"/>
              </w:rPr>
              <w:t>18</w:t>
            </w:r>
          </w:p>
        </w:tc>
        <w:tc>
          <w:tcPr>
            <w:tcW w:type="dxa" w:w="3764"/>
          </w:tcPr>
          <w:p>
            <w:pPr>
              <w:spacing w:after="40" w:before="40"/>
            </w:pPr>
            <w:r/>
            <w:r>
              <w:rPr>
                <w:i w:val="0"/>
                <w:color w:val="1A1A1A"/>
                <w:sz w:val="19"/>
              </w:rPr>
              <w:t>Participant, after each session</w:t>
            </w:r>
          </w:p>
        </w:tc>
      </w:tr>
      <w:tr>
        <w:tc>
          <w:tcPr>
            <w:tcW w:type="dxa" w:w="4423"/>
            <w:shd w:val="clear" w:fill="EEF2F7"/>
          </w:tcPr>
          <w:p>
            <w:pPr>
              <w:spacing w:after="40" w:before="40"/>
            </w:pPr>
            <w:r/>
            <w:r>
              <w:rPr>
                <w:i w:val="0"/>
                <w:color w:val="1A1A1A"/>
                <w:sz w:val="19"/>
              </w:rPr>
              <w:t>Assessments — grader's and participant versions</w:t>
            </w:r>
          </w:p>
        </w:tc>
        <w:tc>
          <w:tcPr>
            <w:tcW w:type="dxa" w:w="1223"/>
            <w:shd w:val="clear" w:fill="EEF2F7"/>
          </w:tcPr>
          <w:p>
            <w:pPr>
              <w:spacing w:after="40" w:before="40"/>
            </w:pPr>
            <w:r/>
            <w:r>
              <w:rPr>
                <w:i w:val="0"/>
                <w:color w:val="1A1A1A"/>
                <w:sz w:val="19"/>
              </w:rPr>
              <w:t>3 × 2</w:t>
            </w:r>
          </w:p>
        </w:tc>
        <w:tc>
          <w:tcPr>
            <w:tcW w:type="dxa" w:w="3764"/>
            <w:shd w:val="clear" w:fill="EEF2F7"/>
          </w:tcPr>
          <w:p>
            <w:pPr>
              <w:spacing w:after="40" w:before="40"/>
            </w:pPr>
            <w:r/>
            <w:r>
              <w:rPr>
                <w:i w:val="0"/>
                <w:color w:val="1A1A1A"/>
                <w:sz w:val="19"/>
              </w:rPr>
              <w:t>Participant / instructor</w:t>
            </w:r>
          </w:p>
        </w:tc>
      </w:tr>
      <w:tr>
        <w:tc>
          <w:tcPr>
            <w:tcW w:type="dxa" w:w="4423"/>
          </w:tcPr>
          <w:p>
            <w:pPr>
              <w:spacing w:after="40" w:before="40"/>
            </w:pPr>
            <w:r/>
            <w:r>
              <w:rPr>
                <w:i w:val="0"/>
                <w:color w:val="1A1A1A"/>
                <w:sz w:val="19"/>
              </w:rPr>
              <w:t>Assessment marking guides</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Instructor only</w:t>
            </w:r>
          </w:p>
        </w:tc>
      </w:tr>
      <w:tr>
        <w:tc>
          <w:tcPr>
            <w:tcW w:type="dxa" w:w="4423"/>
            <w:shd w:val="clear" w:fill="EEF2F7"/>
          </w:tcPr>
          <w:p>
            <w:pPr>
              <w:spacing w:after="40" w:before="40"/>
            </w:pPr>
            <w:r/>
            <w:r>
              <w:rPr>
                <w:i w:val="0"/>
                <w:color w:val="1A1A1A"/>
                <w:sz w:val="19"/>
              </w:rPr>
              <w:t>Reference program</w:t>
            </w:r>
          </w:p>
        </w:tc>
        <w:tc>
          <w:tcPr>
            <w:tcW w:type="dxa" w:w="1223"/>
            <w:shd w:val="clear" w:fill="EEF2F7"/>
          </w:tcPr>
          <w:p>
            <w:pPr>
              <w:spacing w:after="40" w:before="40"/>
            </w:pPr>
            <w:r/>
            <w:r>
              <w:rPr>
                <w:i w:val="0"/>
                <w:color w:val="1A1A1A"/>
                <w:sz w:val="19"/>
              </w:rPr>
              <w:t>4 files</w:t>
            </w:r>
          </w:p>
        </w:tc>
        <w:tc>
          <w:tcPr>
            <w:tcW w:type="dxa" w:w="3764"/>
            <w:shd w:val="clear" w:fill="EEF2F7"/>
          </w:tcPr>
          <w:p>
            <w:pPr>
              <w:spacing w:after="40" w:before="40"/>
            </w:pPr>
            <w:r/>
            <w:r>
              <w:rPr>
                <w:i w:val="0"/>
                <w:color w:val="1A1A1A"/>
                <w:sz w:val="19"/>
              </w:rPr>
              <w:t>Participant, from day 21</w:t>
            </w:r>
          </w:p>
        </w:tc>
      </w:tr>
      <w:tr>
        <w:tc>
          <w:tcPr>
            <w:tcW w:type="dxa" w:w="4423"/>
          </w:tcPr>
          <w:p>
            <w:pPr>
              <w:spacing w:after="40" w:before="40"/>
            </w:pPr>
            <w:r/>
            <w:r>
              <w:rPr>
                <w:i w:val="0"/>
                <w:color w:val="1A1A1A"/>
                <w:sz w:val="19"/>
              </w:rPr>
              <w:t>Installation instructions, reference sheet, setup check</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Instructor notes, curriculum, build specification</w:t>
            </w:r>
          </w:p>
        </w:tc>
        <w:tc>
          <w:tcPr>
            <w:tcW w:type="dxa" w:w="1223"/>
            <w:shd w:val="clear" w:fill="EEF2F7"/>
          </w:tcPr>
          <w:p>
            <w:pPr>
              <w:spacing w:after="40" w:before="40"/>
            </w:pPr>
            <w:r/>
            <w:r>
              <w:rPr>
                <w:i w:val="0"/>
                <w:color w:val="1A1A1A"/>
                <w:sz w:val="19"/>
              </w:rPr>
              <w:t>3</w:t>
            </w:r>
          </w:p>
        </w:tc>
        <w:tc>
          <w:tcPr>
            <w:tcW w:type="dxa" w:w="3764"/>
            <w:shd w:val="clear" w:fill="EEF2F7"/>
          </w:tcPr>
          <w:p>
            <w:pPr>
              <w:spacing w:after="40" w:before="40"/>
            </w:pPr>
            <w:r/>
            <w:r>
              <w:rPr>
                <w:i w:val="0"/>
                <w:color w:val="1A1A1A"/>
                <w:sz w:val="19"/>
              </w:rPr>
              <w:t>Instructor / organiser</w:t>
            </w:r>
          </w:p>
        </w:tc>
      </w:tr>
      <w:tr>
        <w:tc>
          <w:tcPr>
            <w:tcW w:type="dxa" w:w="4423"/>
          </w:tcPr>
          <w:p>
            <w:pPr>
              <w:spacing w:after="40" w:before="40"/>
            </w:pPr>
            <w:r/>
            <w:r>
              <w:rPr>
                <w:i w:val="0"/>
                <w:color w:val="1A1A1A"/>
                <w:sz w:val="19"/>
              </w:rPr>
              <w:t>Recruitment announcement</w:t>
            </w:r>
          </w:p>
        </w:tc>
        <w:tc>
          <w:tcPr>
            <w:tcW w:type="dxa" w:w="1223"/>
          </w:tcPr>
          <w:p>
            <w:pPr>
              <w:spacing w:after="40" w:before="40"/>
            </w:pPr>
            <w:r/>
            <w:r>
              <w:rPr>
                <w:i w:val="0"/>
                <w:color w:val="1A1A1A"/>
                <w:sz w:val="19"/>
              </w:rPr>
              <w:t>1</w:t>
            </w:r>
          </w:p>
        </w:tc>
        <w:tc>
          <w:tcPr>
            <w:tcW w:type="dxa" w:w="3764"/>
          </w:tcPr>
          <w:p>
            <w:pPr>
              <w:spacing w:after="40" w:before="40"/>
            </w:pPr>
            <w:r/>
            <w:r>
              <w:rPr>
                <w:i w:val="0"/>
                <w:color w:val="1A1A1A"/>
                <w:sz w:val="19"/>
              </w:rPr>
              <w:t>Prospective participants</w:t>
            </w:r>
          </w:p>
        </w:tc>
      </w:tr>
    </w:tbl>
    <w:p>
      <w:pPr>
        <w:spacing w:after="80"/>
      </w:pPr>
    </w:p>
    <w:p>
      <w:pPr>
        <w:spacing w:after="140"/>
      </w:pPr>
      <w:r>
        <w:rPr>
          <w:i w:val="0"/>
          <w:color w:val="1A1A1A"/>
          <w:sz w:val="21"/>
        </w:rPr>
        <w:t>Materials are held in a version-controlled repository with four automated checks that must pass before any change is accepted: session arithmetic, execution of all 43 notebooks, the language and dependency rules, and the finished program running end to end. Nothing is reported as complete on the strength of inspection alone.</w:t>
      </w:r>
    </w:p>
    <w:p>
      <w:pPr>
        <w:pBdr>
          <w:bottom w:val="single" w:sz="6" w:space="4" w:color="1F3A5F"/>
        </w:pBdr>
      </w:pPr>
    </w:p>
    <w:p>
      <w:pPr>
        <w:spacing w:after="140"/>
      </w:pPr>
      <w:r>
        <w:rPr>
          <w:i w:val="0"/>
          <w:color w:val="5A5A5A"/>
          <w:sz w:val="18"/>
        </w:rPr>
        <w:t>Programme dossier v1.8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