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Гисматуллин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Вадимович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возможно-</w:t>
      </w:r>
      <w:r>
        <w:t xml:space="preserve"> </w:t>
      </w:r>
      <w:r>
        <w:t xml:space="preserve">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Рассмотрите программу вычисления выражения f(x) = 2х + 7 с помощью подпрограммы. Добавьте в нее подпрограмму вычисления выражения f(g(x)).</w:t>
      </w:r>
    </w:p>
    <w:p>
      <w:pPr>
        <w:numPr>
          <w:ilvl w:val="0"/>
          <w:numId w:val="1001"/>
        </w:numPr>
      </w:pPr>
      <w:r>
        <w:t xml:space="preserve">Проведите отладку программы листинга 10.2. Выполните соответствующие задания по изучению процесса отладки (точки останова, работа с данными программами в gdb, обработка аргументов).</w:t>
      </w:r>
    </w:p>
    <w:p>
      <w:pPr>
        <w:numPr>
          <w:ilvl w:val="0"/>
          <w:numId w:val="1001"/>
        </w:numPr>
      </w:pPr>
      <w:r>
        <w:t xml:space="preserve">Преобразовать программу из лабораторной работы №9, реализовав вычисления как подпрограмму.</w:t>
      </w:r>
    </w:p>
    <w:p>
      <w:pPr>
        <w:numPr>
          <w:ilvl w:val="0"/>
          <w:numId w:val="1001"/>
        </w:numPr>
      </w:pPr>
      <w:r>
        <w:t xml:space="preserve">С помощью отладчика gdb определить ошибку программы листинга 10.3.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онятие-об-отладк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Понятие об отладке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исходно-</w:t>
      </w:r>
      <w:r>
        <w:t xml:space="preserve"> </w:t>
      </w:r>
      <w:r>
        <w:t xml:space="preserve">го 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</w:t>
      </w:r>
      <w:r>
        <w:t xml:space="preserve"> </w:t>
      </w:r>
      <w:r>
        <w:t xml:space="preserve">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</w:t>
      </w:r>
      <w:r>
        <w:t xml:space="preserve"> </w:t>
      </w:r>
      <w:r>
        <w:t xml:space="preserve">вызывают прерывание выполнения программы (например, это ошибки,</w:t>
      </w:r>
      <w:r>
        <w:t xml:space="preserve"> </w:t>
      </w:r>
      <w:r>
        <w:t xml:space="preserve">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обнару-</w:t>
      </w:r>
      <w:r>
        <w:t xml:space="preserve"> </w:t>
      </w:r>
      <w:r>
        <w:t xml:space="preserve">жить довольно трудно. Лучший способ найти место в программе, где находится</w:t>
      </w:r>
      <w:r>
        <w:t xml:space="preserve"> </w:t>
      </w:r>
      <w:r>
        <w:t xml:space="preserve">ошибка, это разбить программу на части и произвести их отладку отдельно друг</w:t>
      </w:r>
      <w:r>
        <w:t xml:space="preserve"> </w:t>
      </w:r>
      <w:r>
        <w:t xml:space="preserve">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местона-</w:t>
      </w:r>
      <w:r>
        <w:t xml:space="preserve"> </w:t>
      </w:r>
      <w:r>
        <w:t xml:space="preserve">хождения ошибки обычно проще определить причину неправильной работы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запус-</w:t>
      </w:r>
      <w:r>
        <w:t xml:space="preserve"> </w:t>
      </w:r>
      <w:r>
        <w:t xml:space="preserve">ке программы, может обнаружиться следующая ошибка, и процесс отладки</w:t>
      </w:r>
      <w:r>
        <w:t xml:space="preserve"> </w:t>
      </w:r>
      <w:r>
        <w:t xml:space="preserve">начнётся заново.</w:t>
      </w:r>
    </w:p>
    <w:bookmarkEnd w:id="22"/>
    <w:bookmarkStart w:id="23" w:name="методы-отлад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Методы отладки</w:t>
      </w:r>
    </w:p>
    <w:p>
      <w:pPr>
        <w:pStyle w:val="FirstParagraph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контролиро-</w:t>
      </w:r>
      <w:r>
        <w:t xml:space="preserve"> </w:t>
      </w:r>
      <w:r>
        <w:t xml:space="preserve">вать и изменять данные. Это помогает быстрее найти место ошибки в программе</w:t>
      </w:r>
      <w:r>
        <w:t xml:space="preserve"> </w:t>
      </w:r>
      <w:r>
        <w:t xml:space="preserve">и ускорить её исправление. Наиболее популярные способы работы с отладчиком</w:t>
      </w:r>
      <w:r>
        <w:t xml:space="preserve"> </w:t>
      </w:r>
      <w:r>
        <w:t xml:space="preserve">— это использование точек останова и выполнение программы по шагам.</w:t>
      </w:r>
    </w:p>
    <w:p>
      <w:pPr>
        <w:pStyle w:val="BodyText"/>
      </w:pPr>
      <w:r>
        <w:t xml:space="preserve">Пошаговое выполнение — это выполнение программы с остановкой после каж-</w:t>
      </w:r>
      <w:r>
        <w:t xml:space="preserve"> </w:t>
      </w:r>
      <w:r>
        <w:t xml:space="preserve">дой строчки, чтобы программист мог проверить значения переменных и вы-</w:t>
      </w:r>
      <w:r>
        <w:t xml:space="preserve"> </w:t>
      </w:r>
      <w:r>
        <w:t xml:space="preserve">полнить другие действия.</w:t>
      </w:r>
    </w:p>
    <w:p>
      <w:pPr>
        <w:pStyle w:val="BodyText"/>
      </w:pPr>
      <w:r>
        <w:t xml:space="preserve">Точки останова — это специально отмеченные места в программе, в которых</w:t>
      </w:r>
      <w:r>
        <w:t xml:space="preserve"> </w:t>
      </w:r>
      <w:r>
        <w:t xml:space="preserve">программа-отладчик приостанавливает выполнение программы и ждёт команд.</w:t>
      </w:r>
      <w:r>
        <w:t xml:space="preserve"> </w:t>
      </w:r>
      <w:r>
        <w:t xml:space="preserve">Наиболее популярные виды 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</w:t>
      </w:r>
      <w:r>
        <w:t xml:space="preserve"> </w:t>
      </w:r>
      <w:r>
        <w:t xml:space="preserve">доходит до определённой строки, адреса или процедуры, отмеченной про-</w:t>
      </w:r>
      <w:r>
        <w:t xml:space="preserve"> </w:t>
      </w:r>
      <w:r>
        <w:t xml:space="preserve">граммистом);</w:t>
      </w:r>
    </w:p>
    <w:p>
      <w:pPr>
        <w:pStyle w:val="BodyText"/>
      </w:pPr>
      <w:r>
        <w:t xml:space="preserve">• Watchpoint — точка просмотра (выполнение программы приостанавли-</w:t>
      </w:r>
      <w:r>
        <w:t xml:space="preserve"> </w:t>
      </w:r>
      <w:r>
        <w:t xml:space="preserve">вается, если программа обратилась к определённой переменной: либо</w:t>
      </w:r>
      <w:r>
        <w:t xml:space="preserve"> </w:t>
      </w:r>
      <w:r>
        <w:t xml:space="preserve">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</w:t>
      </w:r>
      <w:r>
        <w:t xml:space="preserve"> </w:t>
      </w:r>
      <w:r>
        <w:t xml:space="preserve">программы, т.е. они сохраняются до выхода из программы-отладчика или до</w:t>
      </w:r>
      <w:r>
        <w:t xml:space="preserve"> </w:t>
      </w:r>
      <w:r>
        <w:t xml:space="preserve">смены отлаживаемой программы.</w:t>
      </w:r>
    </w:p>
    <w:bookmarkEnd w:id="23"/>
    <w:bookmarkStart w:id="25" w:name="основные-возможности-отладчика-gd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Основные возможности отладчика GDB</w:t>
      </w:r>
    </w:p>
    <w:p>
      <w:pPr>
        <w:pStyle w:val="FirstParagraph"/>
      </w:pPr>
      <w:r>
        <w:t xml:space="preserve">GDB (GNU Debugger — отладчик проекта GNU) работает на многих UNIX-</w:t>
      </w:r>
      <w:r>
        <w:t xml:space="preserve"> </w:t>
      </w:r>
      <w:r>
        <w:t xml:space="preserve">подобных системах и умеет производить отладку многих языков программиро-</w:t>
      </w:r>
      <w:r>
        <w:t xml:space="preserve"> </w:t>
      </w:r>
      <w:r>
        <w:t xml:space="preserve">вания. GDB предлагает обширные средства для слежения и контроля за выпол-</w:t>
      </w:r>
      <w:r>
        <w:t xml:space="preserve"> </w:t>
      </w:r>
      <w:r>
        <w:t xml:space="preserve">нением компьютерных программ. Отладчик не содержит собственного графи-</w:t>
      </w:r>
      <w:r>
        <w:t xml:space="preserve"> </w:t>
      </w:r>
      <w:r>
        <w:t xml:space="preserve">ческого пользовательского интерфейса и использует стандартный текстовый</w:t>
      </w:r>
      <w:r>
        <w:t xml:space="preserve"> </w:t>
      </w:r>
      <w:r>
        <w:t xml:space="preserve">интерфейс консоли. Однако для GDB существует несколько сторонних графиче-</w:t>
      </w:r>
      <w:r>
        <w:t xml:space="preserve"> </w:t>
      </w:r>
      <w:r>
        <w:t xml:space="preserve">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проис-</w:t>
      </w:r>
      <w:r>
        <w:t xml:space="preserve"> </w:t>
      </w:r>
      <w:r>
        <w:t xml:space="preserve">ходит «внутри» программы в момент её выполнения или что делает программа</w:t>
      </w:r>
      <w:r>
        <w:t xml:space="preserve"> </w:t>
      </w:r>
      <w:r>
        <w:t xml:space="preserve">в момент сбоя.</w:t>
      </w:r>
      <w:r>
        <w:t xml:space="preserve"> </w:t>
      </w:r>
      <w:r>
        <w:t xml:space="preserve">GDB может выполнять следующие действия:</w:t>
      </w:r>
    </w:p>
    <w:p>
      <w:pPr>
        <w:pStyle w:val="BodyText"/>
      </w:pPr>
      <w:r>
        <w:t xml:space="preserve">• начать выполнение программы, задав всё, что может повлиять на её пове-</w:t>
      </w:r>
      <w:r>
        <w:t xml:space="preserve"> </w:t>
      </w:r>
      <w:r>
        <w:t xml:space="preserve">дение;</w:t>
      </w:r>
    </w:p>
    <w:p>
      <w:pPr>
        <w:pStyle w:val="BodyText"/>
      </w:pPr>
      <w:r>
        <w:t xml:space="preserve">• остановить программу при указанных условиях;</w:t>
      </w:r>
    </w:p>
    <w:p>
      <w:pPr>
        <w:pStyle w:val="BodyText"/>
      </w:pPr>
      <w:r>
        <w:t xml:space="preserve">• исследовать, что случилось, когда программа остановилась;</w:t>
      </w:r>
    </w:p>
    <w:p>
      <w:pPr>
        <w:pStyle w:val="BodyText"/>
      </w:pPr>
      <w:r>
        <w:t xml:space="preserve">• изменить программу так, чтобы можно было поэкспериментировать с</w:t>
      </w:r>
      <w:r>
        <w:t xml:space="preserve"> </w:t>
      </w:r>
      <w:r>
        <w:t xml:space="preserve">устранением эффектов одной ошибки и продолжить выявление других.</w:t>
      </w:r>
    </w:p>
    <w:bookmarkStart w:id="24" w:name="понятие-подпрограммы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Понятие подпрограммы</w:t>
      </w:r>
    </w:p>
    <w:p>
      <w:pPr>
        <w:pStyle w:val="FirstParagraph"/>
      </w:pPr>
      <w:r>
        <w:t xml:space="preserve">Подпрограмма — это, как правило, функционально законченный участок кода,</w:t>
      </w:r>
      <w:r>
        <w:t xml:space="preserve"> </w:t>
      </w:r>
      <w:r>
        <w:t xml:space="preserve">который можно многократно вызывать из разных мест программы. В отличие от</w:t>
      </w:r>
      <w:r>
        <w:t xml:space="preserve"> </w:t>
      </w:r>
      <w:r>
        <w:t xml:space="preserve">простых переходов из подпрограмм существует возврат на команду, следующую</w:t>
      </w:r>
      <w:r>
        <w:t xml:space="preserve"> </w:t>
      </w:r>
      <w:r>
        <w:t xml:space="preserve">за вызовом.</w:t>
      </w:r>
    </w:p>
    <w:p>
      <w:pPr>
        <w:pStyle w:val="BodyText"/>
      </w:pPr>
      <w:r>
        <w:t xml:space="preserve">Если в программе встречается одинаковый участок кода, его можно оформить</w:t>
      </w:r>
      <w:r>
        <w:t xml:space="preserve"> </w:t>
      </w:r>
      <w:r>
        <w:t xml:space="preserve">в виде подпрограммы, а во всех нужных местах поставить её вызов. При этом</w:t>
      </w:r>
      <w:r>
        <w:t xml:space="preserve"> </w:t>
      </w:r>
      <w:r>
        <w:t xml:space="preserve">подпрограмма будет содержаться в коде в одном экземпляре, что позволит</w:t>
      </w:r>
      <w:r>
        <w:t xml:space="preserve"> </w:t>
      </w:r>
      <w:r>
        <w:t xml:space="preserve">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</w:t>
      </w:r>
      <w:r>
        <w:t xml:space="preserve"> </w:t>
      </w:r>
      <w:r>
        <w:t xml:space="preserve">call, которая заносит адрес следующей инструкции в стек и загружает в регистр</w:t>
      </w:r>
      <w:r>
        <w:t xml:space="preserve"> </w:t>
      </w:r>
      <w:r>
        <w:t xml:space="preserve">eip адрес соответствующей подпрограммы, осуществляя таким образом пере-</w:t>
      </w:r>
      <w:r>
        <w:t xml:space="preserve"> </w:t>
      </w:r>
      <w:r>
        <w:t xml:space="preserve">ход. Затем начинается выполнение подпрограммы, которая, в свою очередь,</w:t>
      </w:r>
      <w:r>
        <w:t xml:space="preserve"> </w:t>
      </w:r>
      <w:r>
        <w:t xml:space="preserve">также может содержать подпрограммы.</w:t>
      </w:r>
    </w:p>
    <w:p>
      <w:pPr>
        <w:pStyle w:val="BodyText"/>
      </w:pPr>
      <w:r>
        <w:t xml:space="preserve">Подпрограмма завершается инструкцией ret, которая извлекает из стека</w:t>
      </w:r>
      <w:r>
        <w:t xml:space="preserve"> </w:t>
      </w:r>
      <w:r>
        <w:t xml:space="preserve">адрес, занесённый туда соответствующей инструкцией call, и заносит его в</w:t>
      </w:r>
      <w:r>
        <w:t xml:space="preserve"> </w:t>
      </w:r>
      <w:r>
        <w:t xml:space="preserve">eip. После этого выполнение основной программы возобновится с инструкции,</w:t>
      </w:r>
      <w:r>
        <w:t xml:space="preserve"> </w:t>
      </w:r>
      <w:r>
        <w:t xml:space="preserve">следующей за инструкцией call.</w:t>
      </w:r>
    </w:p>
    <w:p>
      <w:pPr>
        <w:pStyle w:val="BodyText"/>
      </w:pPr>
      <w:r>
        <w:t xml:space="preserve">Подпрограмма может вызываться как из внешнего файла, так и быть частью</w:t>
      </w:r>
      <w:r>
        <w:t xml:space="preserve"> </w:t>
      </w:r>
      <w:r>
        <w:t xml:space="preserve">основной программы.</w:t>
      </w:r>
    </w:p>
    <w:bookmarkEnd w:id="24"/>
    <w:bookmarkEnd w:id="25"/>
    <w:bookmarkEnd w:id="26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Создаем каталог для программам лабораторной работы No 10, перейдим в</w:t>
      </w:r>
      <w:r>
        <w:t xml:space="preserve"> </w:t>
      </w:r>
      <w:r>
        <w:t xml:space="preserve">него и создаем файл lab10-1.asm. (рис. 1)</w:t>
      </w:r>
    </w:p>
    <w:p>
      <w:pPr>
        <w:pStyle w:val="CaptionedFigure"/>
      </w:pPr>
      <w:bookmarkStart w:id="30" w:name="fig:001"/>
      <w:r>
        <w:drawing>
          <wp:inline>
            <wp:extent cx="5334000" cy="4245297"/>
            <wp:effectExtent b="0" l="0" r="0" t="0"/>
            <wp:docPr descr="Рис. 1: Командная строка. каталог ~/work/arch-pc/lab10" title="" id="28" name="Picture"/>
            <a:graphic>
              <a:graphicData uri="http://schemas.openxmlformats.org/drawingml/2006/picture">
                <pic:pic>
                  <pic:nvPicPr>
                    <pic:cNvPr descr="image/0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1: Командная строка. каталог ~/work/arch-pc/lab10</w:t>
      </w:r>
    </w:p>
    <w:p>
      <w:pPr>
        <w:numPr>
          <w:ilvl w:val="0"/>
          <w:numId w:val="1003"/>
        </w:numPr>
        <w:pStyle w:val="Compact"/>
      </w:pPr>
      <w:r>
        <w:t xml:space="preserve">Ввели в файл lab10-1.asm текст программы листинга, создали исполняемый файл и посмотрели результат программы. (рис. 2)</w:t>
      </w:r>
    </w:p>
    <w:p>
      <w:pPr>
        <w:pStyle w:val="CaptionedFigure"/>
      </w:pPr>
      <w:bookmarkStart w:id="34" w:name="fig:002"/>
      <w:r>
        <w:drawing>
          <wp:inline>
            <wp:extent cx="5334000" cy="5094853"/>
            <wp:effectExtent b="0" l="0" r="0" t="0"/>
            <wp:docPr descr="Рис. 2: Командная строка. Выполнение программы lab10-1.asm" title="" id="32" name="Picture"/>
            <a:graphic>
              <a:graphicData uri="http://schemas.openxmlformats.org/drawingml/2006/picture">
                <pic:pic>
                  <pic:nvPicPr>
                    <pic:cNvPr descr="image/0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2: Командная строка. Выполнение программы lab10-1.asm</w:t>
      </w:r>
    </w:p>
    <w:p>
      <w:pPr>
        <w:pStyle w:val="BodyText"/>
      </w:pPr>
      <w:r>
        <w:t xml:space="preserve">Далее добавляем подпрограмму для вычисления функции g(x) = 3x - 1, и выполняем программу. Результат: (рис. 3)</w:t>
      </w:r>
    </w:p>
    <w:p>
      <w:pPr>
        <w:pStyle w:val="CaptionedFigure"/>
      </w:pPr>
      <w:bookmarkStart w:id="38" w:name="fig:003"/>
      <w:r>
        <w:drawing>
          <wp:inline>
            <wp:extent cx="5334000" cy="5094853"/>
            <wp:effectExtent b="0" l="0" r="0" t="0"/>
            <wp:docPr descr="Рис. 3: Командная строка. Выполнение измененной программы lab10-1.asm" title="" id="36" name="Picture"/>
            <a:graphic>
              <a:graphicData uri="http://schemas.openxmlformats.org/drawingml/2006/picture">
                <pic:pic>
                  <pic:nvPicPr>
                    <pic:cNvPr descr="image/0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3: Командная строка. Выполнение измененной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Создаем файл lab10-2.asm с текстом программы из Листинга 10.2, получаем исполняемый файл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4)</w:t>
      </w:r>
    </w:p>
    <w:p>
      <w:pPr>
        <w:pStyle w:val="CaptionedFigure"/>
      </w:pPr>
      <w:bookmarkStart w:id="42" w:name="fig:004"/>
      <w:r>
        <w:drawing>
          <wp:inline>
            <wp:extent cx="5334000" cy="5094853"/>
            <wp:effectExtent b="0" l="0" r="0" t="0"/>
            <wp:docPr descr="Рис. 4: Командная строка. Отладка программы lab10-2.asm" title="" id="40" name="Picture"/>
            <a:graphic>
              <a:graphicData uri="http://schemas.openxmlformats.org/drawingml/2006/picture">
                <pic:pic>
                  <pic:nvPicPr>
                    <pic:cNvPr descr="image/0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4: Командная строка. Отладка программы lab10-2.asm</w:t>
      </w:r>
    </w:p>
    <w:p>
      <w:pPr>
        <w:pStyle w:val="BodyText"/>
      </w:pPr>
      <w:r>
        <w:t xml:space="preserve">Проверяем работу программы, запустив ее в оболочке GDB с помощью коман-</w:t>
      </w:r>
      <w:r>
        <w:t xml:space="preserve"> </w:t>
      </w:r>
      <w:r>
        <w:t xml:space="preserve">ды run, устанавливаем брейкпоинт на метку _start, посмотрели</w:t>
      </w:r>
      <w:r>
        <w:t xml:space="preserve"> </w:t>
      </w:r>
      <w:r>
        <w:t xml:space="preserve">дисассимилированный код программы с помощью команды disassemble (рис. 5)</w:t>
      </w:r>
    </w:p>
    <w:p>
      <w:pPr>
        <w:pStyle w:val="CaptionedFigure"/>
      </w:pPr>
      <w:bookmarkStart w:id="46" w:name="fig:005"/>
      <w:r>
        <w:drawing>
          <wp:inline>
            <wp:extent cx="5334000" cy="5094853"/>
            <wp:effectExtent b="0" l="0" r="0" t="0"/>
            <wp:docPr descr="Рис. 5: Командная строка. Отладка программы lab10-2.asm 2" title="" id="44" name="Picture"/>
            <a:graphic>
              <a:graphicData uri="http://schemas.openxmlformats.org/drawingml/2006/picture">
                <pic:pic>
                  <pic:nvPicPr>
                    <pic:cNvPr descr="image/0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Командная строка. Отладка программы lab10-2.asm 2</w:t>
      </w:r>
    </w:p>
    <w:p>
      <w:pPr>
        <w:pStyle w:val="BodyText"/>
      </w:pPr>
      <w:r>
        <w:t xml:space="preserve">Затем переключаем на отображение команд с Intel’овским синтаксисом, введя</w:t>
      </w:r>
      <w:r>
        <w:t xml:space="preserve"> </w:t>
      </w:r>
      <w:r>
        <w:t xml:space="preserve">команду set disassembly-flavor intel (рис. 6)</w:t>
      </w:r>
    </w:p>
    <w:p>
      <w:pPr>
        <w:pStyle w:val="CaptionedFigure"/>
      </w:pPr>
      <w:bookmarkStart w:id="50" w:name="fig:006"/>
      <w:r>
        <w:drawing>
          <wp:inline>
            <wp:extent cx="5334000" cy="5094853"/>
            <wp:effectExtent b="0" l="0" r="0" t="0"/>
            <wp:docPr descr="Рис. 6: Командная строка. Intel синтаксис" title="" id="48" name="Picture"/>
            <a:graphic>
              <a:graphicData uri="http://schemas.openxmlformats.org/drawingml/2006/picture">
                <pic:pic>
                  <pic:nvPicPr>
                    <pic:cNvPr descr="image/0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6: Командная строка. Intel синтаксис</w:t>
      </w:r>
    </w:p>
    <w:p>
      <w:pPr>
        <w:pStyle w:val="BodyText"/>
      </w:pPr>
      <w:r>
        <w:t xml:space="preserve">Различия отображения синтаксиса машинных команд в режимах ATT и Intel отличаются</w:t>
      </w:r>
      <w:r>
        <w:t xml:space="preserve"> </w:t>
      </w:r>
      <w:r>
        <w:t xml:space="preserve">тем, что название регистра и адрес в режиме Intel меняются местами</w:t>
      </w:r>
      <w:r>
        <w:t xml:space="preserve"> </w:t>
      </w:r>
      <w:r>
        <w:t xml:space="preserve">и изменяются так, что читаемость листинга отладки становится лучше.</w:t>
      </w:r>
    </w:p>
    <w:p>
      <w:pPr>
        <w:pStyle w:val="BodyText"/>
      </w:pPr>
      <w:r>
        <w:t xml:space="preserve">Затем включаем режим псевдографики для более удобного анализа программы: (рис. 7)</w:t>
      </w:r>
    </w:p>
    <w:p>
      <w:pPr>
        <w:pStyle w:val="CaptionedFigure"/>
      </w:pPr>
      <w:bookmarkStart w:id="54" w:name="fig:007"/>
      <w:r>
        <w:drawing>
          <wp:inline>
            <wp:extent cx="5334000" cy="6245304"/>
            <wp:effectExtent b="0" l="0" r="0" t="0"/>
            <wp:docPr descr="Рис. 7: Командная строка. Режим псевдографики" title="" id="52" name="Picture"/>
            <a:graphic>
              <a:graphicData uri="http://schemas.openxmlformats.org/drawingml/2006/picture">
                <pic:pic>
                  <pic:nvPicPr>
                    <pic:cNvPr descr="image/0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7: Командная строка. Режим псевдографики</w:t>
      </w:r>
    </w:p>
    <w:p>
      <w:pPr>
        <w:numPr>
          <w:ilvl w:val="0"/>
          <w:numId w:val="1005"/>
        </w:numPr>
        <w:pStyle w:val="Compact"/>
      </w:pPr>
      <w:r>
        <w:t xml:space="preserve">Далее устанавливаем еще одну точку останова по адресу инструкции, смотрим информацию</w:t>
      </w:r>
      <w:r>
        <w:t xml:space="preserve"> </w:t>
      </w:r>
      <w:r>
        <w:t xml:space="preserve">о всех установленных точках останова, а после начинаем работу с данными программы, выполняя</w:t>
      </w:r>
      <w:r>
        <w:t xml:space="preserve"> </w:t>
      </w:r>
      <w:r>
        <w:t xml:space="preserve">инструкции командой stepi (si): (рис. 8)</w:t>
      </w:r>
    </w:p>
    <w:p>
      <w:pPr>
        <w:pStyle w:val="CaptionedFigure"/>
      </w:pPr>
      <w:bookmarkStart w:id="58" w:name="fig:008"/>
      <w:r>
        <w:drawing>
          <wp:inline>
            <wp:extent cx="5334000" cy="6245304"/>
            <wp:effectExtent b="0" l="0" r="0" t="0"/>
            <wp:docPr descr="Рис. 8: Командная строка. Выполнение инструкций." title="" id="56" name="Picture"/>
            <a:graphic>
              <a:graphicData uri="http://schemas.openxmlformats.org/drawingml/2006/picture">
                <pic:pic>
                  <pic:nvPicPr>
                    <pic:cNvPr descr="image/0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8: Командная строка. Выполнение инструкций.</w:t>
      </w:r>
    </w:p>
    <w:p>
      <w:pPr>
        <w:pStyle w:val="BodyText"/>
      </w:pPr>
      <w:r>
        <w:t xml:space="preserve">Можно проследить, как изменяются значения регистров eax, ebx, ecx, edx, eip и др.</w:t>
      </w:r>
    </w:p>
    <w:p>
      <w:pPr>
        <w:numPr>
          <w:ilvl w:val="0"/>
          <w:numId w:val="1006"/>
        </w:numPr>
        <w:pStyle w:val="Compact"/>
      </w:pPr>
      <w:r>
        <w:t xml:space="preserve">После просмотра содержимого регистров, смотрим значение переменной msg1. (рис. 9)</w:t>
      </w:r>
    </w:p>
    <w:p>
      <w:pPr>
        <w:pStyle w:val="CaptionedFigure"/>
      </w:pPr>
      <w:bookmarkStart w:id="62" w:name="fig:009"/>
      <w:r>
        <w:drawing>
          <wp:inline>
            <wp:extent cx="5334000" cy="6245304"/>
            <wp:effectExtent b="0" l="0" r="0" t="0"/>
            <wp:docPr descr="Рис. 9: Командная строка. Просмотр значения переменной" title="" id="60" name="Picture"/>
            <a:graphic>
              <a:graphicData uri="http://schemas.openxmlformats.org/drawingml/2006/picture">
                <pic:pic>
                  <pic:nvPicPr>
                    <pic:cNvPr descr="image/0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9: Командная строка. Просмотр значения переменной</w:t>
      </w:r>
    </w:p>
    <w:p>
      <w:pPr>
        <w:numPr>
          <w:ilvl w:val="0"/>
          <w:numId w:val="1007"/>
        </w:numPr>
        <w:pStyle w:val="Compact"/>
      </w:pPr>
      <w:r>
        <w:t xml:space="preserve">Смотрим значение переменной msg1 по адресу, изменяем значение для этой переменной,</w:t>
      </w:r>
      <w:r>
        <w:t xml:space="preserve"> </w:t>
      </w:r>
      <w:r>
        <w:t xml:space="preserve">смотрим значение переменной msg2 и проводим с ним изменения первого символа: (рис. 8)</w:t>
      </w:r>
    </w:p>
    <w:p>
      <w:pPr>
        <w:pStyle w:val="CaptionedFigure"/>
      </w:pPr>
      <w:bookmarkStart w:id="66" w:name="fig:010"/>
      <w:r>
        <w:drawing>
          <wp:inline>
            <wp:extent cx="5334000" cy="6245304"/>
            <wp:effectExtent b="0" l="0" r="0" t="0"/>
            <wp:docPr descr="Рис. 10: Командная строка. Просмотр и изменение значения переменных" title="" id="64" name="Picture"/>
            <a:graphic>
              <a:graphicData uri="http://schemas.openxmlformats.org/drawingml/2006/picture">
                <pic:pic>
                  <pic:nvPicPr>
                    <pic:cNvPr descr="image/0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10: Командная строка. Просмотр и изменение значения переменных</w:t>
      </w:r>
    </w:p>
    <w:p>
      <w:pPr>
        <w:numPr>
          <w:ilvl w:val="0"/>
          <w:numId w:val="1008"/>
        </w:numPr>
        <w:pStyle w:val="Compact"/>
      </w:pPr>
      <w:r>
        <w:t xml:space="preserve">Далее выводим в различных форматах значение регистров eax и edx. (рис. 11)</w:t>
      </w:r>
    </w:p>
    <w:p>
      <w:pPr>
        <w:pStyle w:val="CaptionedFigure"/>
      </w:pPr>
      <w:bookmarkStart w:id="70" w:name="fig:011"/>
      <w:r>
        <w:drawing>
          <wp:inline>
            <wp:extent cx="5334000" cy="6245304"/>
            <wp:effectExtent b="0" l="0" r="0" t="0"/>
            <wp:docPr descr="Рис. 11: Командная строка. Значения регистров eax и edx" title="" id="68" name="Picture"/>
            <a:graphic>
              <a:graphicData uri="http://schemas.openxmlformats.org/drawingml/2006/picture">
                <pic:pic>
                  <pic:nvPicPr>
                    <pic:cNvPr descr="image/0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11: Командная строка. Значения регистров eax и edx</w:t>
      </w:r>
    </w:p>
    <w:p>
      <w:pPr>
        <w:pStyle w:val="BodyText"/>
      </w:pPr>
      <w:r>
        <w:t xml:space="preserve">Более того, значения регистров можно изменять с помощью команды set: (рис. 12)</w:t>
      </w:r>
    </w:p>
    <w:p>
      <w:pPr>
        <w:pStyle w:val="CaptionedFigure"/>
      </w:pPr>
      <w:bookmarkStart w:id="74" w:name="fig:012"/>
      <w:r>
        <w:drawing>
          <wp:inline>
            <wp:extent cx="5334000" cy="6245304"/>
            <wp:effectExtent b="0" l="0" r="0" t="0"/>
            <wp:docPr descr="Рис. 12: Командная строка. Изменение знчаения регистра ebx" title="" id="72" name="Picture"/>
            <a:graphic>
              <a:graphicData uri="http://schemas.openxmlformats.org/drawingml/2006/picture">
                <pic:pic>
                  <pic:nvPicPr>
                    <pic:cNvPr descr="image/0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12: Командная строка. Изменение знчаения регистра ebx</w:t>
      </w:r>
    </w:p>
    <w:p>
      <w:pPr>
        <w:pStyle w:val="BodyText"/>
      </w:pPr>
      <w:r>
        <w:t xml:space="preserve">Разница между выводом p/s для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и 2 заключается в том, что для данных</w:t>
      </w:r>
      <w:r>
        <w:t xml:space="preserve"> </w:t>
      </w:r>
      <w:r>
        <w:t xml:space="preserve">символов возвращается число из таблицы символов Unicode представляющее их позицию,</w:t>
      </w:r>
      <w:r>
        <w:t xml:space="preserve"> </w:t>
      </w:r>
      <w:r>
        <w:t xml:space="preserve">а строковые объекты и числа имеют разные значения.</w:t>
      </w:r>
    </w:p>
    <w:p>
      <w:pPr>
        <w:numPr>
          <w:ilvl w:val="0"/>
          <w:numId w:val="1009"/>
        </w:numPr>
        <w:pStyle w:val="Compact"/>
      </w:pPr>
      <w:r>
        <w:t xml:space="preserve">Завершив выполнение программы, копируем файл lab9-2.asm в lab10-3.asm и запускаем</w:t>
      </w:r>
      <w:r>
        <w:t xml:space="preserve"> </w:t>
      </w:r>
      <w:r>
        <w:t xml:space="preserve">отладчик в программе с аргументами. Устанавливаем брэйкпоинт и смотрим количество</w:t>
      </w:r>
      <w:r>
        <w:t xml:space="preserve"> </w:t>
      </w:r>
      <w:r>
        <w:t xml:space="preserve">аргументов командной строки: (рис. 13)</w:t>
      </w:r>
    </w:p>
    <w:p>
      <w:pPr>
        <w:pStyle w:val="CaptionedFigure"/>
      </w:pPr>
      <w:bookmarkStart w:id="78" w:name="fig:013"/>
      <w:r>
        <w:drawing>
          <wp:inline>
            <wp:extent cx="5334000" cy="6245304"/>
            <wp:effectExtent b="0" l="0" r="0" t="0"/>
            <wp:docPr descr="Рис. 13: Командная строка. Запуск в gdb lab10-3.asm" title="" id="76" name="Picture"/>
            <a:graphic>
              <a:graphicData uri="http://schemas.openxmlformats.org/drawingml/2006/picture">
                <pic:pic>
                  <pic:nvPicPr>
                    <pic:cNvPr descr="image/0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13: Командная строка. Запуск в gdb lab10-3.asm</w:t>
      </w:r>
    </w:p>
    <w:p>
      <w:pPr>
        <w:numPr>
          <w:ilvl w:val="0"/>
          <w:numId w:val="1010"/>
        </w:numPr>
        <w:pStyle w:val="Compact"/>
      </w:pPr>
      <w:r>
        <w:t xml:space="preserve">C помощью команды x/s *(void**)($esp + n) можно посмотреть, какие аргументы находятся в стеке: (рис. 14)</w:t>
      </w:r>
    </w:p>
    <w:p>
      <w:pPr>
        <w:pStyle w:val="CaptionedFigure"/>
      </w:pPr>
      <w:bookmarkStart w:id="82" w:name="fig:014"/>
      <w:r>
        <w:drawing>
          <wp:inline>
            <wp:extent cx="5334000" cy="5433804"/>
            <wp:effectExtent b="0" l="0" r="0" t="0"/>
            <wp:docPr descr="Рис. 14: Командная строка. Просмотр содержимого очереди" title="" id="80" name="Picture"/>
            <a:graphic>
              <a:graphicData uri="http://schemas.openxmlformats.org/drawingml/2006/picture">
                <pic:pic>
                  <pic:nvPicPr>
                    <pic:cNvPr descr="image/0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14: Командная строка. Просмотр содержимого очереди</w:t>
      </w:r>
    </w:p>
    <w:p>
      <w:pPr>
        <w:pStyle w:val="BodyText"/>
      </w:pPr>
      <w:r>
        <w:t xml:space="preserve">Примечательно следующее: адрес выглядит, как [$esp + n], где n кратно 4. Это вызвано тем,</w:t>
      </w:r>
      <w:r>
        <w:t xml:space="preserve"> </w:t>
      </w:r>
      <w:r>
        <w:t xml:space="preserve">что n - число байт, на которое смещен элемент относительно вершины стека.</w:t>
      </w:r>
    </w:p>
    <w:bookmarkEnd w:id="83"/>
    <w:bookmarkStart w:id="100" w:name="X33a5db1c0406ef43d93c9262044c6a22182ec0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Суть задания для самостоятельной работы заключается в том, чтобы преобразовать программу из</w:t>
      </w:r>
      <w:r>
        <w:t xml:space="preserve"> </w:t>
      </w:r>
      <w:r>
        <w:t xml:space="preserve">лабораторной работы №9, реализовав вычисление значения функции как подпрограмму, а также изучить</w:t>
      </w:r>
      <w:r>
        <w:t xml:space="preserve"> </w:t>
      </w:r>
      <w:r>
        <w:t xml:space="preserve">листинг 10.3 с помощью отладчика gdb и определить в нем ошибку.</w:t>
      </w:r>
    </w:p>
    <w:p>
      <w:pPr>
        <w:numPr>
          <w:ilvl w:val="0"/>
          <w:numId w:val="1011"/>
        </w:numPr>
        <w:pStyle w:val="Compact"/>
      </w:pPr>
      <w:r>
        <w:t xml:space="preserve">Создадим файл lab10-4.asm для создания подпрограммы для функции. Скопируем программу из файла</w:t>
      </w:r>
      <w:r>
        <w:t xml:space="preserve"> </w:t>
      </w:r>
      <w:r>
        <w:t xml:space="preserve">lab9-4.asm, цель которой была вычисление сумм значений функций f(x) = 15x + 2. Перепишем ее, добавив подпрограмму. Результат получился следующим: (рис. 15)</w:t>
      </w:r>
    </w:p>
    <w:p>
      <w:pPr>
        <w:pStyle w:val="CaptionedFigure"/>
      </w:pPr>
      <w:bookmarkStart w:id="87" w:name="fig:015"/>
      <w:r>
        <w:drawing>
          <wp:inline>
            <wp:extent cx="5334000" cy="5439349"/>
            <wp:effectExtent b="0" l="0" r="0" t="0"/>
            <wp:docPr descr="Рис. 15: Командная строка. Программа lab10-4.asm" title="" id="85" name="Picture"/>
            <a:graphic>
              <a:graphicData uri="http://schemas.openxmlformats.org/drawingml/2006/picture">
                <pic:pic>
                  <pic:nvPicPr>
                    <pic:cNvPr descr="image/0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15: Командная строка. Программа lab10-4.asm</w:t>
      </w:r>
    </w:p>
    <w:p>
      <w:pPr>
        <w:pStyle w:val="BodyText"/>
      </w:pPr>
      <w:r>
        <w:t xml:space="preserve">Ответ получился верным.</w:t>
      </w:r>
    </w:p>
    <w:p>
      <w:pPr>
        <w:numPr>
          <w:ilvl w:val="0"/>
          <w:numId w:val="1012"/>
        </w:numPr>
        <w:pStyle w:val="Compact"/>
      </w:pPr>
      <w:r>
        <w:t xml:space="preserve">Скопируем программу листинга 10.3 в файл lab10-5.asm, запустим его в gdb и проследим за изменением</w:t>
      </w:r>
      <w:r>
        <w:t xml:space="preserve"> </w:t>
      </w:r>
      <w:r>
        <w:t xml:space="preserve">значений регистров. (рис. 16)</w:t>
      </w:r>
    </w:p>
    <w:p>
      <w:pPr>
        <w:pStyle w:val="CaptionedFigure"/>
      </w:pPr>
      <w:bookmarkStart w:id="91" w:name="fig:016"/>
      <w:r>
        <w:drawing>
          <wp:inline>
            <wp:extent cx="5334000" cy="5439349"/>
            <wp:effectExtent b="0" l="0" r="0" t="0"/>
            <wp:docPr descr="Рис. 16: Командная строка. Отладка программы lab10-5.asm" title="" id="89" name="Picture"/>
            <a:graphic>
              <a:graphicData uri="http://schemas.openxmlformats.org/drawingml/2006/picture">
                <pic:pic>
                  <pic:nvPicPr>
                    <pic:cNvPr descr="image/0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16: Командная строка. Отладка программы lab10-5.asm</w:t>
      </w:r>
    </w:p>
    <w:p>
      <w:pPr>
        <w:pStyle w:val="BodyText"/>
      </w:pPr>
      <w:r>
        <w:t xml:space="preserve">Здесь сразу можно обратить внимание, что значение из регистра eax прибавляется к ebx, а не наоборот.</w:t>
      </w:r>
      <w:r>
        <w:t xml:space="preserve"> </w:t>
      </w:r>
      <w:r>
        <w:t xml:space="preserve">Ввиду этого на данный момент значение в eax равно 8. Проходим далее: (рис. 17)</w:t>
      </w:r>
    </w:p>
    <w:p>
      <w:pPr>
        <w:pStyle w:val="CaptionedFigure"/>
      </w:pPr>
      <w:bookmarkStart w:id="95" w:name="fig:017"/>
      <w:r>
        <w:drawing>
          <wp:inline>
            <wp:extent cx="5334000" cy="5439349"/>
            <wp:effectExtent b="0" l="0" r="0" t="0"/>
            <wp:docPr descr="Рис. 17: Командная строка. Отладка программы lab10-5.asm 2" title="" id="93" name="Picture"/>
            <a:graphic>
              <a:graphicData uri="http://schemas.openxmlformats.org/drawingml/2006/picture">
                <pic:pic>
                  <pic:nvPicPr>
                    <pic:cNvPr descr="image/0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17: Командная строка. Отладка программы lab10-5.asm 2</w:t>
      </w:r>
    </w:p>
    <w:p>
      <w:pPr>
        <w:pStyle w:val="BodyText"/>
      </w:pPr>
      <w:r>
        <w:t xml:space="preserve">Здесь тоже можно сделать вывод, что значения прибавляются не к тому регистру, а edi запоминает</w:t>
      </w:r>
      <w:r>
        <w:t xml:space="preserve"> </w:t>
      </w:r>
      <w:r>
        <w:t xml:space="preserve">число из ebx, что тоже неверно. Основываясь на всех этих недочетах, я переписал программу следующим образом: (рис. 18)</w:t>
      </w:r>
    </w:p>
    <w:p>
      <w:pPr>
        <w:pStyle w:val="CaptionedFigure"/>
      </w:pPr>
      <w:bookmarkStart w:id="99" w:name="fig:018"/>
      <w:r>
        <w:drawing>
          <wp:inline>
            <wp:extent cx="5334000" cy="5439349"/>
            <wp:effectExtent b="0" l="0" r="0" t="0"/>
            <wp:docPr descr="Рис. 18: Командная строка. Выполнение верной программы lab10-5.asm" title="" id="97" name="Picture"/>
            <a:graphic>
              <a:graphicData uri="http://schemas.openxmlformats.org/drawingml/2006/picture">
                <pic:pic>
                  <pic:nvPicPr>
                    <pic:cNvPr descr="image/0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18: Командная строка. Выполнение верной программы lab10-5.asm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приобрел навыки написания программ с использованием подпрограмм, познакомился с методами отладки при помощи GDB</w:t>
      </w:r>
      <w:r>
        <w:t xml:space="preserve"> </w:t>
      </w:r>
      <w:r>
        <w:t xml:space="preserve">и его основными возможностями.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10</dc:title>
  <dc:creator>Гисматуллин Артём Вадимович НПИбд-01-22</dc:creator>
  <dc:language>ru-RU</dc:language>
  <cp:keywords/>
  <dcterms:created xsi:type="dcterms:W3CDTF">2022-12-05T09:21:18Z</dcterms:created>
  <dcterms:modified xsi:type="dcterms:W3CDTF">2022-12-05T09:21:18Z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