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17B7A3B1" w:rsidR="007C15D2" w:rsidRDefault="007C15D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ДИАГРАММА СЕБЕСТОИМОСТИ ПРОГРАММНОГО ПРОДУКТА</w:t>
      </w:r>
    </w:p>
    <w:p w14:paraId="2BEC28B4" w14:textId="2EBD0E27" w:rsidR="007C15D2" w:rsidRPr="007C15D2" w:rsidRDefault="00A42EB6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7C15D2" w:rsidRPr="007C15D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67148" wp14:editId="6539DA1D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9601200" cy="5707380"/>
            <wp:effectExtent l="0" t="0" r="0" b="7620"/>
            <wp:wrapNone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102A0304" w14:textId="6715019F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44CF8B86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061DE484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383C71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3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009041A8" w:rsidR="00C7666E" w:rsidRDefault="00383C71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Измайлович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4C4334F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F81A32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Диаграмма себестоимости программного продукта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061DE484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</w:t>
                        </w: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.0</w:t>
                        </w:r>
                        <w:r w:rsidR="00383C71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3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009041A8" w:rsidR="00C7666E" w:rsidRDefault="00383C71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Измайлович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4C4334F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F81A32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Диаграмма себестоимости программного продукта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F0EFD" w14:textId="77777777" w:rsidR="00FA7BDC" w:rsidRDefault="00FA7BDC" w:rsidP="007C15D2">
      <w:pPr>
        <w:spacing w:after="0" w:line="240" w:lineRule="auto"/>
      </w:pPr>
      <w:r>
        <w:separator/>
      </w:r>
    </w:p>
  </w:endnote>
  <w:endnote w:type="continuationSeparator" w:id="0">
    <w:p w14:paraId="2865FC84" w14:textId="77777777" w:rsidR="00FA7BDC" w:rsidRDefault="00FA7BDC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D9238" w14:textId="77777777" w:rsidR="00FA7BDC" w:rsidRDefault="00FA7BDC" w:rsidP="007C15D2">
      <w:pPr>
        <w:spacing w:after="0" w:line="240" w:lineRule="auto"/>
      </w:pPr>
      <w:r>
        <w:separator/>
      </w:r>
    </w:p>
  </w:footnote>
  <w:footnote w:type="continuationSeparator" w:id="0">
    <w:p w14:paraId="28F7DA1B" w14:textId="77777777" w:rsidR="00FA7BDC" w:rsidRDefault="00FA7BDC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383C71"/>
    <w:rsid w:val="00530E63"/>
    <w:rsid w:val="0058258B"/>
    <w:rsid w:val="005F4E52"/>
    <w:rsid w:val="00685D66"/>
    <w:rsid w:val="00765F73"/>
    <w:rsid w:val="007671A9"/>
    <w:rsid w:val="007C15D2"/>
    <w:rsid w:val="0082316D"/>
    <w:rsid w:val="008C30F9"/>
    <w:rsid w:val="00A42EB6"/>
    <w:rsid w:val="00C7666E"/>
    <w:rsid w:val="00E15EB8"/>
    <w:rsid w:val="00E229F2"/>
    <w:rsid w:val="00E443AE"/>
    <w:rsid w:val="00F81A32"/>
    <w:rsid w:val="00F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640211640211642E-2"/>
          <c:y val="5.2550732560299122E-2"/>
          <c:w val="0.82407407407407418"/>
          <c:h val="0.78639761151351406"/>
        </c:manualLayout>
      </c:layout>
      <c:ofPieChart>
        <c:ofPieType val="bar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83-43C6-AB36-40CF846F6F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83-43C6-AB36-40CF846F6F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83-43C6-AB36-40CF846F6F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83-43C6-AB36-40CF846F6F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283-43C6-AB36-40CF846F6FF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283-43C6-AB36-40CF846F6FF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283-43C6-AB36-40CF846F6FF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283-43C6-AB36-40CF846F6FF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283-43C6-AB36-40CF846F6FF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ED68DC9-0AD0-4627-9767-9C21DF3204CC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283-43C6-AB36-40CF846F6FF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F04F016-04E2-465B-8BFB-23DDEDB78540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283-43C6-AB36-40CF846F6FF9}"/>
                </c:ext>
              </c:extLst>
            </c:dLbl>
            <c:dLbl>
              <c:idx val="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0FC2AA7-72A8-4201-942B-D407DB19C72D}" type="PERCENTAG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[ПРОЦЕНТ]</a:t>
                    </a:fld>
                    <a:endParaRPr lang="ru-RU"/>
                  </a:p>
                </c:rich>
              </c:tx>
              <c:numFmt formatCode="0.00%" sourceLinked="0"/>
              <c:spPr>
                <a:solidFill>
                  <a:schemeClr val="lt1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oundRect">
                      <a:avLst>
                        <a:gd name="adj" fmla="val 21428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283-43C6-AB36-40CF846F6FF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57798B4-6E7A-4F32-B297-210C3D1ED80C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A283-43C6-AB36-40CF846F6FF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55B28B1-5948-47EF-A2A5-D14CB7817E0E}" type="PERCENTAGE">
                      <a:rPr lang="en-US"/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A283-43C6-AB36-40CF846F6FF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423005-8629-4EFB-B1DE-1918464C6E9F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A283-43C6-AB36-40CF846F6FF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D2FC9A80-596F-4DDD-91A9-1F392C254E42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A283-43C6-AB36-40CF846F6FF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1181EC6A-8627-4DDA-A459-3B2491655DF5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A283-43C6-AB36-40CF846F6FF9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283-43C6-AB36-40CF846F6FF9}"/>
                </c:ext>
              </c:extLst>
            </c:dLbl>
            <c:numFmt formatCode="0.00%" sourceLinked="0"/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ound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Лист1!$A$2:$A$9</c:f>
              <c:strCache>
                <c:ptCount val="8"/>
                <c:pt idx="0">
                  <c:v>Материалы и комплектующие</c:v>
                </c:pt>
                <c:pt idx="1">
                  <c:v>Электроэнергия</c:v>
                </c:pt>
                <c:pt idx="2">
                  <c:v>Основная зароботная плата исполнителя</c:v>
                </c:pt>
                <c:pt idx="3">
                  <c:v>Дополнительная зароботная плата исолнителя</c:v>
                </c:pt>
                <c:pt idx="4">
                  <c:v>Отчисления на социальные нужды</c:v>
                </c:pt>
                <c:pt idx="5">
                  <c:v>Амортизация</c:v>
                </c:pt>
                <c:pt idx="6">
                  <c:v>Расходы на спецоборудование</c:v>
                </c:pt>
                <c:pt idx="7">
                  <c:v>Прочие прямые расходы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0.62</c:v>
                </c:pt>
                <c:pt idx="1">
                  <c:v>0.46</c:v>
                </c:pt>
                <c:pt idx="2">
                  <c:v>56.02</c:v>
                </c:pt>
                <c:pt idx="3">
                  <c:v>11.2</c:v>
                </c:pt>
                <c:pt idx="4">
                  <c:v>22.93</c:v>
                </c:pt>
                <c:pt idx="5">
                  <c:v>6.97</c:v>
                </c:pt>
                <c:pt idx="6">
                  <c:v>0</c:v>
                </c:pt>
                <c:pt idx="7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283-43C6-AB36-40CF846F6FF9}"/>
            </c:ext>
          </c:extLst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gapWidth val="100"/>
        <c:splitType val="percent"/>
        <c:splitPos val="7"/>
        <c:secondPieSize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879890013748281E-2"/>
          <c:y val="0.87733566014528552"/>
          <c:w val="0.85691746864975216"/>
          <c:h val="0.109313205008252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8491-E584-4DEA-BB74-5276192F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9</cp:revision>
  <cp:lastPrinted>2023-06-09T20:28:00Z</cp:lastPrinted>
  <dcterms:created xsi:type="dcterms:W3CDTF">2023-06-09T20:30:00Z</dcterms:created>
  <dcterms:modified xsi:type="dcterms:W3CDTF">2023-06-09T21:12:00Z</dcterms:modified>
</cp:coreProperties>
</file>