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06A2" w14:textId="77777777" w:rsidR="00722E74" w:rsidRDefault="00000000">
      <w:pPr>
        <w:spacing w:before="480" w:after="80"/>
      </w:pPr>
      <w:r>
        <w:rPr>
          <w:rFonts w:ascii="Segoe UI" w:hAnsi="Segoe UI"/>
          <w:b/>
          <w:color w:val="1B365D"/>
          <w:sz w:val="44"/>
        </w:rPr>
        <w:t>PYTHON-BASED MACHINE LEARNING MODEL DEVELOPMENT &amp; EVALUATION PLAN</w:t>
      </w:r>
    </w:p>
    <w:p w14:paraId="381165FE" w14:textId="77777777" w:rsidR="00722E74" w:rsidRDefault="00000000">
      <w:pPr>
        <w:spacing w:after="320"/>
      </w:pPr>
      <w:r>
        <w:rPr>
          <w:rFonts w:ascii="Calibri" w:hAnsi="Calibri"/>
          <w:i/>
          <w:color w:val="2E6B9E"/>
          <w:sz w:val="26"/>
        </w:rPr>
        <w:t>An Enterprise Architecture Blueprint for Predictive Churn Modeling, Rigorous Validation, and Production MLOps Serving</w:t>
      </w:r>
    </w:p>
    <w:tbl>
      <w:tblPr>
        <w:tblW w:w="0" w:type="auto"/>
        <w:jc w:val="center"/>
        <w:tblLook w:val="04A0" w:firstRow="1" w:lastRow="0" w:firstColumn="1" w:lastColumn="0" w:noHBand="0" w:noVBand="1"/>
      </w:tblPr>
      <w:tblGrid>
        <w:gridCol w:w="3168"/>
        <w:gridCol w:w="6192"/>
      </w:tblGrid>
      <w:tr w:rsidR="00722E74" w14:paraId="7A234FE5" w14:textId="77777777">
        <w:trPr>
          <w:jc w:val="center"/>
        </w:trPr>
        <w:tc>
          <w:tcPr>
            <w:tcW w:w="3168" w:type="dxa"/>
            <w:shd w:val="clear" w:color="auto" w:fill="F4F7FA"/>
            <w:tcMar>
              <w:top w:w="60" w:type="dxa"/>
              <w:left w:w="100" w:type="dxa"/>
              <w:bottom w:w="60" w:type="dxa"/>
              <w:right w:w="100" w:type="dxa"/>
            </w:tcMar>
          </w:tcPr>
          <w:p w14:paraId="0E82A5E8" w14:textId="77777777" w:rsidR="00722E74" w:rsidRDefault="00000000">
            <w:pPr>
              <w:spacing w:after="0"/>
            </w:pPr>
            <w:r>
              <w:rPr>
                <w:rFonts w:ascii="Segoe UI" w:hAnsi="Segoe UI"/>
                <w:b/>
                <w:color w:val="1B365D"/>
                <w:sz w:val="19"/>
              </w:rPr>
              <w:t>Program &amp; Role:</w:t>
            </w:r>
          </w:p>
        </w:tc>
        <w:tc>
          <w:tcPr>
            <w:tcW w:w="6192" w:type="dxa"/>
            <w:shd w:val="clear" w:color="auto" w:fill="F4F7FA"/>
            <w:tcMar>
              <w:top w:w="60" w:type="dxa"/>
              <w:left w:w="100" w:type="dxa"/>
              <w:bottom w:w="60" w:type="dxa"/>
              <w:right w:w="100" w:type="dxa"/>
            </w:tcMar>
          </w:tcPr>
          <w:p w14:paraId="45236696" w14:textId="77777777" w:rsidR="00722E74" w:rsidRDefault="00000000">
            <w:pPr>
              <w:spacing w:after="0"/>
            </w:pPr>
            <w:r>
              <w:rPr>
                <w:rFonts w:ascii="Calibri" w:hAnsi="Calibri"/>
                <w:color w:val="2C3E50"/>
                <w:sz w:val="19"/>
              </w:rPr>
              <w:t>Virtual Data Science Explorer Intern — Machine Learning Track</w:t>
            </w:r>
          </w:p>
        </w:tc>
      </w:tr>
      <w:tr w:rsidR="00722E74" w14:paraId="3A6A7D61" w14:textId="77777777">
        <w:trPr>
          <w:jc w:val="center"/>
        </w:trPr>
        <w:tc>
          <w:tcPr>
            <w:tcW w:w="3168" w:type="dxa"/>
            <w:shd w:val="clear" w:color="auto" w:fill="F4F7FA"/>
            <w:tcMar>
              <w:top w:w="60" w:type="dxa"/>
              <w:left w:w="100" w:type="dxa"/>
              <w:bottom w:w="60" w:type="dxa"/>
              <w:right w:w="100" w:type="dxa"/>
            </w:tcMar>
          </w:tcPr>
          <w:p w14:paraId="37BD085E" w14:textId="77777777" w:rsidR="00722E74" w:rsidRDefault="00000000">
            <w:pPr>
              <w:spacing w:after="0"/>
            </w:pPr>
            <w:r>
              <w:rPr>
                <w:rFonts w:ascii="Segoe UI" w:hAnsi="Segoe UI"/>
                <w:b/>
                <w:color w:val="1B365D"/>
                <w:sz w:val="19"/>
              </w:rPr>
              <w:t>Milestone / Task:</w:t>
            </w:r>
          </w:p>
        </w:tc>
        <w:tc>
          <w:tcPr>
            <w:tcW w:w="6192" w:type="dxa"/>
            <w:shd w:val="clear" w:color="auto" w:fill="F4F7FA"/>
            <w:tcMar>
              <w:top w:w="60" w:type="dxa"/>
              <w:left w:w="100" w:type="dxa"/>
              <w:bottom w:w="60" w:type="dxa"/>
              <w:right w:w="100" w:type="dxa"/>
            </w:tcMar>
          </w:tcPr>
          <w:p w14:paraId="69F6C182" w14:textId="77777777" w:rsidR="00722E74" w:rsidRDefault="00000000">
            <w:pPr>
              <w:spacing w:after="0"/>
            </w:pPr>
            <w:r>
              <w:rPr>
                <w:rFonts w:ascii="Calibri" w:hAnsi="Calibri"/>
                <w:color w:val="2C3E50"/>
                <w:sz w:val="19"/>
              </w:rPr>
              <w:t>Week 3 Task: ML Model Development and Evaluation Plan</w:t>
            </w:r>
          </w:p>
        </w:tc>
      </w:tr>
      <w:tr w:rsidR="00722E74" w14:paraId="65650C8C" w14:textId="77777777">
        <w:trPr>
          <w:jc w:val="center"/>
        </w:trPr>
        <w:tc>
          <w:tcPr>
            <w:tcW w:w="3168" w:type="dxa"/>
            <w:shd w:val="clear" w:color="auto" w:fill="F4F7FA"/>
            <w:tcMar>
              <w:top w:w="60" w:type="dxa"/>
              <w:left w:w="100" w:type="dxa"/>
              <w:bottom w:w="60" w:type="dxa"/>
              <w:right w:w="100" w:type="dxa"/>
            </w:tcMar>
          </w:tcPr>
          <w:p w14:paraId="2258D452" w14:textId="77777777" w:rsidR="00722E74" w:rsidRDefault="00000000">
            <w:pPr>
              <w:spacing w:after="0"/>
            </w:pPr>
            <w:r>
              <w:rPr>
                <w:rFonts w:ascii="Segoe UI" w:hAnsi="Segoe UI"/>
                <w:b/>
                <w:color w:val="1B365D"/>
                <w:sz w:val="19"/>
              </w:rPr>
              <w:t>Author / Intern:</w:t>
            </w:r>
          </w:p>
        </w:tc>
        <w:tc>
          <w:tcPr>
            <w:tcW w:w="6192" w:type="dxa"/>
            <w:shd w:val="clear" w:color="auto" w:fill="F4F7FA"/>
            <w:tcMar>
              <w:top w:w="60" w:type="dxa"/>
              <w:left w:w="100" w:type="dxa"/>
              <w:bottom w:w="60" w:type="dxa"/>
              <w:right w:w="100" w:type="dxa"/>
            </w:tcMar>
          </w:tcPr>
          <w:p w14:paraId="44D61EB6" w14:textId="77777777" w:rsidR="00722E74" w:rsidRDefault="00000000">
            <w:pPr>
              <w:spacing w:after="0"/>
            </w:pPr>
            <w:r>
              <w:rPr>
                <w:rFonts w:ascii="Calibri" w:hAnsi="Calibri"/>
                <w:color w:val="2C3E50"/>
                <w:sz w:val="19"/>
              </w:rPr>
              <w:t>Data Science &amp; MLOps Engineering Intern</w:t>
            </w:r>
          </w:p>
        </w:tc>
      </w:tr>
      <w:tr w:rsidR="00722E74" w14:paraId="44F8534E" w14:textId="77777777">
        <w:trPr>
          <w:jc w:val="center"/>
        </w:trPr>
        <w:tc>
          <w:tcPr>
            <w:tcW w:w="3168" w:type="dxa"/>
            <w:shd w:val="clear" w:color="auto" w:fill="F4F7FA"/>
            <w:tcMar>
              <w:top w:w="60" w:type="dxa"/>
              <w:left w:w="100" w:type="dxa"/>
              <w:bottom w:w="60" w:type="dxa"/>
              <w:right w:w="100" w:type="dxa"/>
            </w:tcMar>
          </w:tcPr>
          <w:p w14:paraId="709F4E4B" w14:textId="77777777" w:rsidR="00722E74" w:rsidRDefault="00000000">
            <w:pPr>
              <w:spacing w:after="0"/>
            </w:pPr>
            <w:r>
              <w:rPr>
                <w:rFonts w:ascii="Segoe UI" w:hAnsi="Segoe UI"/>
                <w:b/>
                <w:color w:val="1B365D"/>
                <w:sz w:val="19"/>
              </w:rPr>
              <w:t>Estimated Dev Effort:</w:t>
            </w:r>
          </w:p>
        </w:tc>
        <w:tc>
          <w:tcPr>
            <w:tcW w:w="6192" w:type="dxa"/>
            <w:shd w:val="clear" w:color="auto" w:fill="F4F7FA"/>
            <w:tcMar>
              <w:top w:w="60" w:type="dxa"/>
              <w:left w:w="100" w:type="dxa"/>
              <w:bottom w:w="60" w:type="dxa"/>
              <w:right w:w="100" w:type="dxa"/>
            </w:tcMar>
          </w:tcPr>
          <w:p w14:paraId="2A8B819E" w14:textId="77777777" w:rsidR="00722E74" w:rsidRDefault="00000000">
            <w:pPr>
              <w:spacing w:after="0"/>
            </w:pPr>
            <w:r>
              <w:rPr>
                <w:rFonts w:ascii="Calibri" w:hAnsi="Calibri"/>
                <w:color w:val="2C3E50"/>
                <w:sz w:val="19"/>
              </w:rPr>
              <w:t>30 – 35 Hours Comprehensive Lifecycle Blueprint</w:t>
            </w:r>
          </w:p>
        </w:tc>
      </w:tr>
    </w:tbl>
    <w:p w14:paraId="05A0A710" w14:textId="77777777" w:rsidR="00722E74" w:rsidRDefault="00722E74">
      <w:pPr>
        <w:spacing w:after="240"/>
      </w:pPr>
    </w:p>
    <w:tbl>
      <w:tblPr>
        <w:tblW w:w="0" w:type="auto"/>
        <w:jc w:val="center"/>
        <w:tblLook w:val="04A0" w:firstRow="1" w:lastRow="0" w:firstColumn="1" w:lastColumn="0" w:noHBand="0" w:noVBand="1"/>
      </w:tblPr>
      <w:tblGrid>
        <w:gridCol w:w="9360"/>
      </w:tblGrid>
      <w:tr w:rsidR="00722E74" w14:paraId="4E3F0AF7" w14:textId="77777777">
        <w:trPr>
          <w:jc w:val="center"/>
        </w:trPr>
        <w:tc>
          <w:tcPr>
            <w:tcW w:w="9360" w:type="dxa"/>
            <w:tcBorders>
              <w:left w:val="single" w:sz="24" w:space="0" w:color="1B365D"/>
            </w:tcBorders>
            <w:shd w:val="clear" w:color="auto" w:fill="EEF4F8"/>
            <w:tcMar>
              <w:top w:w="140" w:type="dxa"/>
              <w:left w:w="180" w:type="dxa"/>
              <w:bottom w:w="140" w:type="dxa"/>
              <w:right w:w="180" w:type="dxa"/>
            </w:tcMar>
          </w:tcPr>
          <w:p w14:paraId="7F35CE7A" w14:textId="77777777" w:rsidR="00722E74" w:rsidRDefault="00000000">
            <w:pPr>
              <w:spacing w:after="40"/>
            </w:pPr>
            <w:r>
              <w:rPr>
                <w:rFonts w:ascii="Segoe UI" w:hAnsi="Segoe UI"/>
                <w:b/>
                <w:color w:val="1B365D"/>
                <w:sz w:val="21"/>
              </w:rPr>
              <w:t>Executive Summary &amp; Architectural Scope</w:t>
            </w:r>
            <w:r>
              <w:rPr>
                <w:rFonts w:ascii="Segoe UI" w:hAnsi="Segoe UI"/>
                <w:b/>
                <w:color w:val="1B365D"/>
                <w:sz w:val="21"/>
              </w:rPr>
              <w:br/>
            </w:r>
            <w:r>
              <w:rPr>
                <w:rFonts w:ascii="Calibri" w:hAnsi="Calibri"/>
                <w:color w:val="2C3E50"/>
                <w:sz w:val="20"/>
              </w:rPr>
              <w:t>This document establishes an end-to-end, industry-grade plan for engineering, benchmarking, evaluating, and deploying a high-performance machine learning model in Python. Addressing a multi-million-dollar subscription customer churn problem, this specification provides mathematically rigorous preprocessing pipelines, multi-algorithm selection protocols, Bayesian hyperparameter optimization, cost-benefit validation frameworks, model explainability (SHAP), and a resilient MLOps deployment architecture.</w:t>
            </w:r>
          </w:p>
        </w:tc>
      </w:tr>
    </w:tbl>
    <w:p w14:paraId="63948E41" w14:textId="77777777" w:rsidR="00722E74" w:rsidRDefault="00722E74">
      <w:pPr>
        <w:spacing w:after="120"/>
      </w:pPr>
    </w:p>
    <w:p w14:paraId="55223C5D" w14:textId="77777777" w:rsidR="00722E74" w:rsidRDefault="00000000">
      <w:pPr>
        <w:keepNext/>
        <w:spacing w:before="320" w:after="120"/>
      </w:pPr>
      <w:r>
        <w:rPr>
          <w:rFonts w:ascii="Segoe UI" w:hAnsi="Segoe UI"/>
          <w:b/>
          <w:color w:val="1B365D"/>
          <w:sz w:val="32"/>
        </w:rPr>
        <w:t>1. Problem Definition &amp; Business Formulation</w:t>
      </w:r>
    </w:p>
    <w:p w14:paraId="1D729314" w14:textId="77777777" w:rsidR="00722E74" w:rsidRDefault="00000000">
      <w:pPr>
        <w:keepNext/>
        <w:spacing w:before="240" w:after="80"/>
      </w:pPr>
      <w:r>
        <w:rPr>
          <w:rFonts w:ascii="Segoe UI" w:hAnsi="Segoe UI"/>
          <w:b/>
          <w:color w:val="2E6B9E"/>
          <w:sz w:val="26"/>
        </w:rPr>
        <w:t>1.1 Hypothetical Business Scenario: Enterprise SaaS Churn Prediction</w:t>
      </w:r>
    </w:p>
    <w:p w14:paraId="4F813131" w14:textId="77777777" w:rsidR="00722E74" w:rsidRDefault="00000000">
      <w:pPr>
        <w:spacing w:after="120"/>
      </w:pPr>
      <w:r>
        <w:rPr>
          <w:rFonts w:ascii="Calibri" w:hAnsi="Calibri"/>
          <w:color w:val="2C3E50"/>
          <w:sz w:val="21"/>
        </w:rPr>
        <w:t>In subscription-based SaaS and telecommunications enterprises, customer acquisition costs (CAC) typically exceed customer retention costs by 5x to 7x. Retaining high-value accounts directly compounds monthly recurring revenue (MRR) and customer lifetime value (LTV).</w:t>
      </w:r>
    </w:p>
    <w:p w14:paraId="2A491738" w14:textId="77777777" w:rsidR="00722E74" w:rsidRDefault="00000000">
      <w:pPr>
        <w:spacing w:after="120"/>
      </w:pPr>
      <w:r>
        <w:rPr>
          <w:rFonts w:ascii="Calibri" w:hAnsi="Calibri"/>
          <w:color w:val="2C3E50"/>
          <w:sz w:val="21"/>
        </w:rPr>
        <w:t>The objective of this project is to build an automated, real-time Machine Learning scoring engine in Python that predicts customer churn risk (probability of cancellation within a 60-day forward-looking window) based on telemetry, billing patterns, support interaction frequency, and contract characteristics.</w:t>
      </w:r>
    </w:p>
    <w:p w14:paraId="510C80D5" w14:textId="77777777" w:rsidR="00722E74" w:rsidRDefault="00000000">
      <w:pPr>
        <w:keepNext/>
        <w:spacing w:before="240" w:after="80"/>
      </w:pPr>
      <w:r>
        <w:rPr>
          <w:rFonts w:ascii="Segoe UI" w:hAnsi="Segoe UI"/>
          <w:b/>
          <w:color w:val="2E6B9E"/>
          <w:sz w:val="26"/>
        </w:rPr>
        <w:t>1.2 Technical Formulation &amp; Mathematical Objectives</w:t>
      </w:r>
    </w:p>
    <w:p w14:paraId="67B73BC6" w14:textId="77777777" w:rsidR="00722E74" w:rsidRDefault="00000000">
      <w:pPr>
        <w:spacing w:after="120"/>
      </w:pPr>
      <w:r>
        <w:rPr>
          <w:rFonts w:ascii="Calibri" w:hAnsi="Calibri"/>
          <w:color w:val="2C3E50"/>
          <w:sz w:val="21"/>
        </w:rPr>
        <w:t>The challenge is formulated as a supervised binary classification problem with probability calibration:</w:t>
      </w:r>
    </w:p>
    <w:p w14:paraId="7B7D174F" w14:textId="77777777" w:rsidR="00722E74" w:rsidRDefault="00000000">
      <w:pPr>
        <w:pStyle w:val="ListBullet"/>
        <w:spacing w:after="60"/>
      </w:pPr>
      <w:r>
        <w:rPr>
          <w:rFonts w:ascii="Calibri" w:hAnsi="Calibri"/>
          <w:b/>
          <w:color w:val="1B365D"/>
          <w:sz w:val="21"/>
        </w:rPr>
        <w:lastRenderedPageBreak/>
        <w:t xml:space="preserve">Input Space: </w:t>
      </w:r>
      <w:r>
        <w:rPr>
          <w:rFonts w:ascii="Calibri" w:hAnsi="Calibri"/>
          <w:color w:val="2C3E50"/>
          <w:sz w:val="21"/>
        </w:rPr>
        <w:t>Feature Vector X ∈ ℝᴰ: Vector containing D preprocessed demographic, behavioral, contractual, and operational features.</w:t>
      </w:r>
    </w:p>
    <w:p w14:paraId="08F41F9F" w14:textId="77777777" w:rsidR="00722E74" w:rsidRDefault="00000000">
      <w:pPr>
        <w:pStyle w:val="ListBullet"/>
        <w:spacing w:after="60"/>
      </w:pPr>
      <w:r>
        <w:rPr>
          <w:rFonts w:ascii="Calibri" w:hAnsi="Calibri"/>
          <w:b/>
          <w:color w:val="1B365D"/>
          <w:sz w:val="21"/>
        </w:rPr>
        <w:t xml:space="preserve">Output Space: </w:t>
      </w:r>
      <w:r>
        <w:rPr>
          <w:rFonts w:ascii="Calibri" w:hAnsi="Calibri"/>
          <w:color w:val="2C3E50"/>
          <w:sz w:val="21"/>
        </w:rPr>
        <w:t>Target Label y ∈ {0, 1}: Where y = 1 denotes a churn event within 60 days, and y = 0 denotes an active/retained subscriber.</w:t>
      </w:r>
    </w:p>
    <w:p w14:paraId="186DDC39" w14:textId="77777777" w:rsidR="00722E74" w:rsidRDefault="00000000">
      <w:pPr>
        <w:pStyle w:val="ListBullet"/>
        <w:spacing w:after="60"/>
      </w:pPr>
      <w:r>
        <w:rPr>
          <w:rFonts w:ascii="Calibri" w:hAnsi="Calibri"/>
          <w:b/>
          <w:color w:val="1B365D"/>
          <w:sz w:val="21"/>
        </w:rPr>
        <w:t xml:space="preserve">Objective Function: </w:t>
      </w:r>
      <w:r>
        <w:rPr>
          <w:rFonts w:ascii="Calibri" w:hAnsi="Calibri"/>
          <w:color w:val="2C3E50"/>
          <w:sz w:val="21"/>
        </w:rPr>
        <w:t>Learned Hypothesis P(y = 1 | X): A calibrated posterior probability indicating the likelihood of churn.</w:t>
      </w:r>
    </w:p>
    <w:p w14:paraId="49A638CB" w14:textId="77777777" w:rsidR="00722E74" w:rsidRDefault="00000000">
      <w:pPr>
        <w:keepNext/>
        <w:spacing w:before="240" w:after="80"/>
      </w:pPr>
      <w:r>
        <w:rPr>
          <w:rFonts w:ascii="Segoe UI" w:hAnsi="Segoe UI"/>
          <w:b/>
          <w:color w:val="2E6B9E"/>
          <w:sz w:val="26"/>
        </w:rPr>
        <w:t>1.3 Business KPIs vs. Machine Learning Technical Metrics</w:t>
      </w:r>
    </w:p>
    <w:p w14:paraId="08DDA588" w14:textId="77777777" w:rsidR="00722E74" w:rsidRDefault="00000000">
      <w:pPr>
        <w:spacing w:after="120"/>
      </w:pPr>
      <w:r>
        <w:rPr>
          <w:rFonts w:ascii="Calibri" w:hAnsi="Calibri"/>
          <w:color w:val="2C3E50"/>
          <w:sz w:val="21"/>
        </w:rPr>
        <w:t>To bridge the gap between engineering metrics and financial impact, the development plan maps ML technical performance directly to enterprise business outcomes: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2304"/>
        <w:gridCol w:w="2304"/>
        <w:gridCol w:w="2880"/>
      </w:tblGrid>
      <w:tr w:rsidR="00722E74" w14:paraId="7E8CB507" w14:textId="77777777">
        <w:trPr>
          <w:jc w:val="center"/>
        </w:trPr>
        <w:tc>
          <w:tcPr>
            <w:tcW w:w="1872" w:type="dxa"/>
            <w:shd w:val="clear" w:color="auto" w:fill="1B365D"/>
            <w:tcMar>
              <w:top w:w="120" w:type="dxa"/>
              <w:left w:w="140" w:type="dxa"/>
              <w:bottom w:w="120" w:type="dxa"/>
              <w:right w:w="140" w:type="dxa"/>
            </w:tcMar>
          </w:tcPr>
          <w:p w14:paraId="3A240775" w14:textId="77777777" w:rsidR="00722E74" w:rsidRDefault="00000000">
            <w:pPr>
              <w:spacing w:after="0"/>
            </w:pPr>
            <w:r>
              <w:rPr>
                <w:rFonts w:ascii="Segoe UI" w:hAnsi="Segoe UI"/>
                <w:b/>
                <w:color w:val="FFFFFF"/>
                <w:sz w:val="19"/>
              </w:rPr>
              <w:t>Domain Level</w:t>
            </w:r>
          </w:p>
        </w:tc>
        <w:tc>
          <w:tcPr>
            <w:tcW w:w="2304" w:type="dxa"/>
            <w:shd w:val="clear" w:color="auto" w:fill="1B365D"/>
            <w:tcMar>
              <w:top w:w="120" w:type="dxa"/>
              <w:left w:w="140" w:type="dxa"/>
              <w:bottom w:w="120" w:type="dxa"/>
              <w:right w:w="140" w:type="dxa"/>
            </w:tcMar>
          </w:tcPr>
          <w:p w14:paraId="133EDE10" w14:textId="77777777" w:rsidR="00722E74" w:rsidRDefault="00000000">
            <w:pPr>
              <w:spacing w:after="0"/>
            </w:pPr>
            <w:r>
              <w:rPr>
                <w:rFonts w:ascii="Segoe UI" w:hAnsi="Segoe UI"/>
                <w:b/>
                <w:color w:val="FFFFFF"/>
                <w:sz w:val="19"/>
              </w:rPr>
              <w:t>Primary Metric</w:t>
            </w:r>
          </w:p>
        </w:tc>
        <w:tc>
          <w:tcPr>
            <w:tcW w:w="2304" w:type="dxa"/>
            <w:shd w:val="clear" w:color="auto" w:fill="1B365D"/>
            <w:tcMar>
              <w:top w:w="120" w:type="dxa"/>
              <w:left w:w="140" w:type="dxa"/>
              <w:bottom w:w="120" w:type="dxa"/>
              <w:right w:w="140" w:type="dxa"/>
            </w:tcMar>
          </w:tcPr>
          <w:p w14:paraId="6DD9B505" w14:textId="77777777" w:rsidR="00722E74" w:rsidRDefault="00000000">
            <w:pPr>
              <w:spacing w:after="0"/>
            </w:pPr>
            <w:r>
              <w:rPr>
                <w:rFonts w:ascii="Segoe UI" w:hAnsi="Segoe UI"/>
                <w:b/>
                <w:color w:val="FFFFFF"/>
                <w:sz w:val="19"/>
              </w:rPr>
              <w:t>Target Threshold</w:t>
            </w:r>
          </w:p>
        </w:tc>
        <w:tc>
          <w:tcPr>
            <w:tcW w:w="2880" w:type="dxa"/>
            <w:shd w:val="clear" w:color="auto" w:fill="1B365D"/>
            <w:tcMar>
              <w:top w:w="120" w:type="dxa"/>
              <w:left w:w="140" w:type="dxa"/>
              <w:bottom w:w="120" w:type="dxa"/>
              <w:right w:w="140" w:type="dxa"/>
            </w:tcMar>
          </w:tcPr>
          <w:p w14:paraId="54027D45" w14:textId="77777777" w:rsidR="00722E74" w:rsidRDefault="00000000">
            <w:pPr>
              <w:spacing w:after="0"/>
            </w:pPr>
            <w:r>
              <w:rPr>
                <w:rFonts w:ascii="Segoe UI" w:hAnsi="Segoe UI"/>
                <w:b/>
                <w:color w:val="FFFFFF"/>
                <w:sz w:val="19"/>
              </w:rPr>
              <w:t>Business / Financial Impact</w:t>
            </w:r>
          </w:p>
        </w:tc>
      </w:tr>
      <w:tr w:rsidR="00722E74" w14:paraId="191DD6D0" w14:textId="77777777">
        <w:trPr>
          <w:jc w:val="center"/>
        </w:trPr>
        <w:tc>
          <w:tcPr>
            <w:tcW w:w="1872" w:type="dxa"/>
            <w:shd w:val="clear" w:color="auto" w:fill="FFFFFF"/>
            <w:tcMar>
              <w:top w:w="100" w:type="dxa"/>
              <w:left w:w="140" w:type="dxa"/>
              <w:bottom w:w="100" w:type="dxa"/>
              <w:right w:w="140" w:type="dxa"/>
            </w:tcMar>
          </w:tcPr>
          <w:p w14:paraId="7709BC22" w14:textId="77777777" w:rsidR="00722E74" w:rsidRDefault="00000000">
            <w:pPr>
              <w:spacing w:after="0" w:line="264" w:lineRule="auto"/>
            </w:pPr>
            <w:r>
              <w:rPr>
                <w:rFonts w:ascii="Calibri" w:hAnsi="Calibri"/>
                <w:color w:val="2C3E50"/>
                <w:sz w:val="19"/>
              </w:rPr>
              <w:t>Business KPI</w:t>
            </w:r>
          </w:p>
        </w:tc>
        <w:tc>
          <w:tcPr>
            <w:tcW w:w="2304" w:type="dxa"/>
            <w:shd w:val="clear" w:color="auto" w:fill="FFFFFF"/>
            <w:tcMar>
              <w:top w:w="100" w:type="dxa"/>
              <w:left w:w="140" w:type="dxa"/>
              <w:bottom w:w="100" w:type="dxa"/>
              <w:right w:w="140" w:type="dxa"/>
            </w:tcMar>
          </w:tcPr>
          <w:p w14:paraId="4B836873" w14:textId="77777777" w:rsidR="00722E74" w:rsidRDefault="00000000">
            <w:pPr>
              <w:spacing w:after="0" w:line="264" w:lineRule="auto"/>
            </w:pPr>
            <w:r>
              <w:rPr>
                <w:rFonts w:ascii="Calibri" w:hAnsi="Calibri"/>
                <w:color w:val="2C3E50"/>
                <w:sz w:val="19"/>
              </w:rPr>
              <w:t>Customer Churn Rate</w:t>
            </w:r>
          </w:p>
        </w:tc>
        <w:tc>
          <w:tcPr>
            <w:tcW w:w="2304" w:type="dxa"/>
            <w:shd w:val="clear" w:color="auto" w:fill="FFFFFF"/>
            <w:tcMar>
              <w:top w:w="100" w:type="dxa"/>
              <w:left w:w="140" w:type="dxa"/>
              <w:bottom w:w="100" w:type="dxa"/>
              <w:right w:w="140" w:type="dxa"/>
            </w:tcMar>
          </w:tcPr>
          <w:p w14:paraId="0B4AE69C" w14:textId="77777777" w:rsidR="00722E74" w:rsidRDefault="00000000">
            <w:pPr>
              <w:spacing w:after="0" w:line="264" w:lineRule="auto"/>
            </w:pPr>
            <w:r>
              <w:rPr>
                <w:rFonts w:ascii="Calibri" w:hAnsi="Calibri"/>
                <w:color w:val="2C3E50"/>
                <w:sz w:val="19"/>
              </w:rPr>
              <w:t>Reduction from 18.5% to &lt; 12.0%</w:t>
            </w:r>
          </w:p>
        </w:tc>
        <w:tc>
          <w:tcPr>
            <w:tcW w:w="2880" w:type="dxa"/>
            <w:shd w:val="clear" w:color="auto" w:fill="FFFFFF"/>
            <w:tcMar>
              <w:top w:w="100" w:type="dxa"/>
              <w:left w:w="140" w:type="dxa"/>
              <w:bottom w:w="100" w:type="dxa"/>
              <w:right w:w="140" w:type="dxa"/>
            </w:tcMar>
          </w:tcPr>
          <w:p w14:paraId="537DB88D" w14:textId="77777777" w:rsidR="00722E74" w:rsidRDefault="00000000">
            <w:pPr>
              <w:spacing w:after="0" w:line="264" w:lineRule="auto"/>
            </w:pPr>
            <w:r>
              <w:rPr>
                <w:rFonts w:ascii="Calibri" w:hAnsi="Calibri"/>
                <w:color w:val="2C3E50"/>
                <w:sz w:val="19"/>
              </w:rPr>
              <w:t>Saves ~$3.4M annually in preserved recurring subscription revenue.</w:t>
            </w:r>
          </w:p>
        </w:tc>
      </w:tr>
      <w:tr w:rsidR="00722E74" w14:paraId="2DD12C37" w14:textId="77777777">
        <w:trPr>
          <w:jc w:val="center"/>
        </w:trPr>
        <w:tc>
          <w:tcPr>
            <w:tcW w:w="1872" w:type="dxa"/>
            <w:shd w:val="clear" w:color="auto" w:fill="F4F7FA"/>
            <w:tcMar>
              <w:top w:w="100" w:type="dxa"/>
              <w:left w:w="140" w:type="dxa"/>
              <w:bottom w:w="100" w:type="dxa"/>
              <w:right w:w="140" w:type="dxa"/>
            </w:tcMar>
          </w:tcPr>
          <w:p w14:paraId="28C69805" w14:textId="77777777" w:rsidR="00722E74" w:rsidRDefault="00000000">
            <w:pPr>
              <w:spacing w:after="0" w:line="264" w:lineRule="auto"/>
            </w:pPr>
            <w:r>
              <w:rPr>
                <w:rFonts w:ascii="Calibri" w:hAnsi="Calibri"/>
                <w:color w:val="2C3E50"/>
                <w:sz w:val="19"/>
              </w:rPr>
              <w:t>Business KPI</w:t>
            </w:r>
          </w:p>
        </w:tc>
        <w:tc>
          <w:tcPr>
            <w:tcW w:w="2304" w:type="dxa"/>
            <w:shd w:val="clear" w:color="auto" w:fill="F4F7FA"/>
            <w:tcMar>
              <w:top w:w="100" w:type="dxa"/>
              <w:left w:w="140" w:type="dxa"/>
              <w:bottom w:w="100" w:type="dxa"/>
              <w:right w:w="140" w:type="dxa"/>
            </w:tcMar>
          </w:tcPr>
          <w:p w14:paraId="65C2C2F8" w14:textId="77777777" w:rsidR="00722E74" w:rsidRDefault="00000000">
            <w:pPr>
              <w:spacing w:after="0" w:line="264" w:lineRule="auto"/>
            </w:pPr>
            <w:r>
              <w:rPr>
                <w:rFonts w:ascii="Calibri" w:hAnsi="Calibri"/>
                <w:color w:val="2C3E50"/>
                <w:sz w:val="19"/>
              </w:rPr>
              <w:t>Retention Campaign ROI</w:t>
            </w:r>
          </w:p>
        </w:tc>
        <w:tc>
          <w:tcPr>
            <w:tcW w:w="2304" w:type="dxa"/>
            <w:shd w:val="clear" w:color="auto" w:fill="F4F7FA"/>
            <w:tcMar>
              <w:top w:w="100" w:type="dxa"/>
              <w:left w:w="140" w:type="dxa"/>
              <w:bottom w:w="100" w:type="dxa"/>
              <w:right w:w="140" w:type="dxa"/>
            </w:tcMar>
          </w:tcPr>
          <w:p w14:paraId="7BBE850C" w14:textId="77777777" w:rsidR="00722E74" w:rsidRDefault="00000000">
            <w:pPr>
              <w:spacing w:after="0" w:line="264" w:lineRule="auto"/>
            </w:pPr>
            <w:r>
              <w:rPr>
                <w:rFonts w:ascii="Calibri" w:hAnsi="Calibri"/>
                <w:color w:val="2C3E50"/>
                <w:sz w:val="19"/>
              </w:rPr>
              <w:t>≥ 4.5x Return on Retention Spend</w:t>
            </w:r>
          </w:p>
        </w:tc>
        <w:tc>
          <w:tcPr>
            <w:tcW w:w="2880" w:type="dxa"/>
            <w:shd w:val="clear" w:color="auto" w:fill="F4F7FA"/>
            <w:tcMar>
              <w:top w:w="100" w:type="dxa"/>
              <w:left w:w="140" w:type="dxa"/>
              <w:bottom w:w="100" w:type="dxa"/>
              <w:right w:w="140" w:type="dxa"/>
            </w:tcMar>
          </w:tcPr>
          <w:p w14:paraId="57031F36" w14:textId="77777777" w:rsidR="00722E74" w:rsidRDefault="00000000">
            <w:pPr>
              <w:spacing w:after="0" w:line="264" w:lineRule="auto"/>
            </w:pPr>
            <w:r>
              <w:rPr>
                <w:rFonts w:ascii="Calibri" w:hAnsi="Calibri"/>
                <w:color w:val="2C3E50"/>
                <w:sz w:val="19"/>
              </w:rPr>
              <w:t>Ensures high-cost incentives (discounts/concierge) target true at-risk accounts.</w:t>
            </w:r>
          </w:p>
        </w:tc>
      </w:tr>
      <w:tr w:rsidR="00722E74" w14:paraId="2B24B1B0" w14:textId="77777777">
        <w:trPr>
          <w:jc w:val="center"/>
        </w:trPr>
        <w:tc>
          <w:tcPr>
            <w:tcW w:w="1872" w:type="dxa"/>
            <w:shd w:val="clear" w:color="auto" w:fill="FFFFFF"/>
            <w:tcMar>
              <w:top w:w="100" w:type="dxa"/>
              <w:left w:w="140" w:type="dxa"/>
              <w:bottom w:w="100" w:type="dxa"/>
              <w:right w:w="140" w:type="dxa"/>
            </w:tcMar>
          </w:tcPr>
          <w:p w14:paraId="4C9A0C67" w14:textId="77777777" w:rsidR="00722E74" w:rsidRDefault="00000000">
            <w:pPr>
              <w:spacing w:after="0" w:line="264" w:lineRule="auto"/>
            </w:pPr>
            <w:r>
              <w:rPr>
                <w:rFonts w:ascii="Calibri" w:hAnsi="Calibri"/>
                <w:color w:val="2C3E50"/>
                <w:sz w:val="19"/>
              </w:rPr>
              <w:t>Technical ML</w:t>
            </w:r>
          </w:p>
        </w:tc>
        <w:tc>
          <w:tcPr>
            <w:tcW w:w="2304" w:type="dxa"/>
            <w:shd w:val="clear" w:color="auto" w:fill="FFFFFF"/>
            <w:tcMar>
              <w:top w:w="100" w:type="dxa"/>
              <w:left w:w="140" w:type="dxa"/>
              <w:bottom w:w="100" w:type="dxa"/>
              <w:right w:w="140" w:type="dxa"/>
            </w:tcMar>
          </w:tcPr>
          <w:p w14:paraId="4CDA9DC4" w14:textId="77777777" w:rsidR="00722E74" w:rsidRDefault="00000000">
            <w:pPr>
              <w:spacing w:after="0" w:line="264" w:lineRule="auto"/>
            </w:pPr>
            <w:r>
              <w:rPr>
                <w:rFonts w:ascii="Calibri" w:hAnsi="Calibri"/>
                <w:color w:val="2C3E50"/>
                <w:sz w:val="19"/>
              </w:rPr>
              <w:t>Precision-Recall AUC (PR-AUC)</w:t>
            </w:r>
          </w:p>
        </w:tc>
        <w:tc>
          <w:tcPr>
            <w:tcW w:w="2304" w:type="dxa"/>
            <w:shd w:val="clear" w:color="auto" w:fill="FFFFFF"/>
            <w:tcMar>
              <w:top w:w="100" w:type="dxa"/>
              <w:left w:w="140" w:type="dxa"/>
              <w:bottom w:w="100" w:type="dxa"/>
              <w:right w:w="140" w:type="dxa"/>
            </w:tcMar>
          </w:tcPr>
          <w:p w14:paraId="79E33394" w14:textId="77777777" w:rsidR="00722E74" w:rsidRDefault="00000000">
            <w:pPr>
              <w:spacing w:after="0" w:line="264" w:lineRule="auto"/>
            </w:pPr>
            <w:r>
              <w:rPr>
                <w:rFonts w:ascii="Calibri" w:hAnsi="Calibri"/>
                <w:color w:val="2C3E50"/>
                <w:sz w:val="19"/>
              </w:rPr>
              <w:t>PR-AUC ≥ 0.68 (Baseline: 0.18)</w:t>
            </w:r>
          </w:p>
        </w:tc>
        <w:tc>
          <w:tcPr>
            <w:tcW w:w="2880" w:type="dxa"/>
            <w:shd w:val="clear" w:color="auto" w:fill="FFFFFF"/>
            <w:tcMar>
              <w:top w:w="100" w:type="dxa"/>
              <w:left w:w="140" w:type="dxa"/>
              <w:bottom w:w="100" w:type="dxa"/>
              <w:right w:w="140" w:type="dxa"/>
            </w:tcMar>
          </w:tcPr>
          <w:p w14:paraId="1C3EAAA1" w14:textId="77777777" w:rsidR="00722E74" w:rsidRDefault="00000000">
            <w:pPr>
              <w:spacing w:after="0" w:line="264" w:lineRule="auto"/>
            </w:pPr>
            <w:r>
              <w:rPr>
                <w:rFonts w:ascii="Calibri" w:hAnsi="Calibri"/>
                <w:color w:val="2C3E50"/>
                <w:sz w:val="19"/>
              </w:rPr>
              <w:t>Provides superior discrimination on imbalanced tabular distribution.</w:t>
            </w:r>
          </w:p>
        </w:tc>
      </w:tr>
      <w:tr w:rsidR="00722E74" w14:paraId="750AE20E" w14:textId="77777777">
        <w:trPr>
          <w:jc w:val="center"/>
        </w:trPr>
        <w:tc>
          <w:tcPr>
            <w:tcW w:w="1872" w:type="dxa"/>
            <w:shd w:val="clear" w:color="auto" w:fill="F4F7FA"/>
            <w:tcMar>
              <w:top w:w="100" w:type="dxa"/>
              <w:left w:w="140" w:type="dxa"/>
              <w:bottom w:w="100" w:type="dxa"/>
              <w:right w:w="140" w:type="dxa"/>
            </w:tcMar>
          </w:tcPr>
          <w:p w14:paraId="39C1868D" w14:textId="77777777" w:rsidR="00722E74" w:rsidRDefault="00000000">
            <w:pPr>
              <w:spacing w:after="0" w:line="264" w:lineRule="auto"/>
            </w:pPr>
            <w:r>
              <w:rPr>
                <w:rFonts w:ascii="Calibri" w:hAnsi="Calibri"/>
                <w:color w:val="2C3E50"/>
                <w:sz w:val="19"/>
              </w:rPr>
              <w:t>Technical ML</w:t>
            </w:r>
          </w:p>
        </w:tc>
        <w:tc>
          <w:tcPr>
            <w:tcW w:w="2304" w:type="dxa"/>
            <w:shd w:val="clear" w:color="auto" w:fill="F4F7FA"/>
            <w:tcMar>
              <w:top w:w="100" w:type="dxa"/>
              <w:left w:w="140" w:type="dxa"/>
              <w:bottom w:w="100" w:type="dxa"/>
              <w:right w:w="140" w:type="dxa"/>
            </w:tcMar>
          </w:tcPr>
          <w:p w14:paraId="5053B25A" w14:textId="77777777" w:rsidR="00722E74" w:rsidRDefault="00000000">
            <w:pPr>
              <w:spacing w:after="0" w:line="264" w:lineRule="auto"/>
            </w:pPr>
            <w:r>
              <w:rPr>
                <w:rFonts w:ascii="Calibri" w:hAnsi="Calibri"/>
                <w:color w:val="2C3E50"/>
                <w:sz w:val="19"/>
              </w:rPr>
              <w:t>Recall @ Top 20% Decile</w:t>
            </w:r>
          </w:p>
        </w:tc>
        <w:tc>
          <w:tcPr>
            <w:tcW w:w="2304" w:type="dxa"/>
            <w:shd w:val="clear" w:color="auto" w:fill="F4F7FA"/>
            <w:tcMar>
              <w:top w:w="100" w:type="dxa"/>
              <w:left w:w="140" w:type="dxa"/>
              <w:bottom w:w="100" w:type="dxa"/>
              <w:right w:w="140" w:type="dxa"/>
            </w:tcMar>
          </w:tcPr>
          <w:p w14:paraId="35EE0C73" w14:textId="77777777" w:rsidR="00722E74" w:rsidRDefault="00000000">
            <w:pPr>
              <w:spacing w:after="0" w:line="264" w:lineRule="auto"/>
            </w:pPr>
            <w:r>
              <w:rPr>
                <w:rFonts w:ascii="Calibri" w:hAnsi="Calibri"/>
                <w:color w:val="2C3E50"/>
                <w:sz w:val="19"/>
              </w:rPr>
              <w:t>Recall@20 ≥ 75.0%</w:t>
            </w:r>
          </w:p>
        </w:tc>
        <w:tc>
          <w:tcPr>
            <w:tcW w:w="2880" w:type="dxa"/>
            <w:shd w:val="clear" w:color="auto" w:fill="F4F7FA"/>
            <w:tcMar>
              <w:top w:w="100" w:type="dxa"/>
              <w:left w:w="140" w:type="dxa"/>
              <w:bottom w:w="100" w:type="dxa"/>
              <w:right w:w="140" w:type="dxa"/>
            </w:tcMar>
          </w:tcPr>
          <w:p w14:paraId="086064E2" w14:textId="77777777" w:rsidR="00722E74" w:rsidRDefault="00000000">
            <w:pPr>
              <w:spacing w:after="0" w:line="264" w:lineRule="auto"/>
            </w:pPr>
            <w:r>
              <w:rPr>
                <w:rFonts w:ascii="Calibri" w:hAnsi="Calibri"/>
                <w:color w:val="2C3E50"/>
                <w:sz w:val="19"/>
              </w:rPr>
              <w:t>Guarantees top retention outreach captures 3 out of every 4 churners.</w:t>
            </w:r>
          </w:p>
        </w:tc>
      </w:tr>
      <w:tr w:rsidR="00722E74" w14:paraId="102936A0" w14:textId="77777777">
        <w:trPr>
          <w:jc w:val="center"/>
        </w:trPr>
        <w:tc>
          <w:tcPr>
            <w:tcW w:w="1872" w:type="dxa"/>
            <w:shd w:val="clear" w:color="auto" w:fill="FFFFFF"/>
            <w:tcMar>
              <w:top w:w="100" w:type="dxa"/>
              <w:left w:w="140" w:type="dxa"/>
              <w:bottom w:w="100" w:type="dxa"/>
              <w:right w:w="140" w:type="dxa"/>
            </w:tcMar>
          </w:tcPr>
          <w:p w14:paraId="3D8F1684" w14:textId="77777777" w:rsidR="00722E74" w:rsidRDefault="00000000">
            <w:pPr>
              <w:spacing w:after="0" w:line="264" w:lineRule="auto"/>
            </w:pPr>
            <w:r>
              <w:rPr>
                <w:rFonts w:ascii="Calibri" w:hAnsi="Calibri"/>
                <w:color w:val="2C3E50"/>
                <w:sz w:val="19"/>
              </w:rPr>
              <w:t>Technical ML</w:t>
            </w:r>
          </w:p>
        </w:tc>
        <w:tc>
          <w:tcPr>
            <w:tcW w:w="2304" w:type="dxa"/>
            <w:shd w:val="clear" w:color="auto" w:fill="FFFFFF"/>
            <w:tcMar>
              <w:top w:w="100" w:type="dxa"/>
              <w:left w:w="140" w:type="dxa"/>
              <w:bottom w:w="100" w:type="dxa"/>
              <w:right w:w="140" w:type="dxa"/>
            </w:tcMar>
          </w:tcPr>
          <w:p w14:paraId="355FA14B" w14:textId="77777777" w:rsidR="00722E74" w:rsidRDefault="00000000">
            <w:pPr>
              <w:spacing w:after="0" w:line="264" w:lineRule="auto"/>
            </w:pPr>
            <w:r>
              <w:rPr>
                <w:rFonts w:ascii="Calibri" w:hAnsi="Calibri"/>
                <w:color w:val="2C3E50"/>
                <w:sz w:val="19"/>
              </w:rPr>
              <w:t>Brier Score (Calibration)</w:t>
            </w:r>
          </w:p>
        </w:tc>
        <w:tc>
          <w:tcPr>
            <w:tcW w:w="2304" w:type="dxa"/>
            <w:shd w:val="clear" w:color="auto" w:fill="FFFFFF"/>
            <w:tcMar>
              <w:top w:w="100" w:type="dxa"/>
              <w:left w:w="140" w:type="dxa"/>
              <w:bottom w:w="100" w:type="dxa"/>
              <w:right w:w="140" w:type="dxa"/>
            </w:tcMar>
          </w:tcPr>
          <w:p w14:paraId="30BB7DD5" w14:textId="77777777" w:rsidR="00722E74" w:rsidRDefault="00000000">
            <w:pPr>
              <w:spacing w:after="0" w:line="264" w:lineRule="auto"/>
            </w:pPr>
            <w:r>
              <w:rPr>
                <w:rFonts w:ascii="Calibri" w:hAnsi="Calibri"/>
                <w:color w:val="2C3E50"/>
                <w:sz w:val="19"/>
              </w:rPr>
              <w:t>Brier Score ≤ 0.09</w:t>
            </w:r>
          </w:p>
        </w:tc>
        <w:tc>
          <w:tcPr>
            <w:tcW w:w="2880" w:type="dxa"/>
            <w:shd w:val="clear" w:color="auto" w:fill="FFFFFF"/>
            <w:tcMar>
              <w:top w:w="100" w:type="dxa"/>
              <w:left w:w="140" w:type="dxa"/>
              <w:bottom w:w="100" w:type="dxa"/>
              <w:right w:w="140" w:type="dxa"/>
            </w:tcMar>
          </w:tcPr>
          <w:p w14:paraId="23D72813" w14:textId="77777777" w:rsidR="00722E74" w:rsidRDefault="00000000">
            <w:pPr>
              <w:spacing w:after="0" w:line="264" w:lineRule="auto"/>
            </w:pPr>
            <w:r>
              <w:rPr>
                <w:rFonts w:ascii="Calibri" w:hAnsi="Calibri"/>
                <w:color w:val="2C3E50"/>
                <w:sz w:val="19"/>
              </w:rPr>
              <w:t>Ensures output probabilities reflect true empirical frequencies for tiered risk triage.</w:t>
            </w:r>
          </w:p>
        </w:tc>
      </w:tr>
    </w:tbl>
    <w:p w14:paraId="182143D0" w14:textId="77777777" w:rsidR="00722E74" w:rsidRDefault="00722E74">
      <w:pPr>
        <w:spacing w:after="120"/>
      </w:pPr>
    </w:p>
    <w:p w14:paraId="4F333211" w14:textId="77777777" w:rsidR="00722E74" w:rsidRDefault="00000000">
      <w:pPr>
        <w:keepNext/>
        <w:spacing w:before="320" w:after="120"/>
      </w:pPr>
      <w:r>
        <w:rPr>
          <w:rFonts w:ascii="Segoe UI" w:hAnsi="Segoe UI"/>
          <w:b/>
          <w:color w:val="1B365D"/>
          <w:sz w:val="32"/>
        </w:rPr>
        <w:t>2. End-to-End Machine Learning Workflow Architecture</w:t>
      </w:r>
    </w:p>
    <w:p w14:paraId="7A149628" w14:textId="77777777" w:rsidR="00722E74" w:rsidRDefault="00000000">
      <w:pPr>
        <w:spacing w:after="120"/>
      </w:pPr>
      <w:r>
        <w:rPr>
          <w:rFonts w:ascii="Calibri" w:hAnsi="Calibri"/>
          <w:color w:val="2C3E50"/>
          <w:sz w:val="21"/>
        </w:rPr>
        <w:t>Building an enterprise-ready ML solution requires a modular, reproducible, and leak-free pipeline across 7 distinct lifecycle phases. Figure 1 illustrates the full architecture from ingestion to automated continuous retraining.</w:t>
      </w:r>
    </w:p>
    <w:p w14:paraId="02D17086" w14:textId="77777777" w:rsidR="00722E74" w:rsidRDefault="00000000">
      <w:pPr>
        <w:spacing w:before="160" w:after="80"/>
        <w:jc w:val="center"/>
      </w:pPr>
      <w:r>
        <w:rPr>
          <w:noProof/>
        </w:rPr>
        <w:drawing>
          <wp:inline distT="0" distB="0" distL="0" distR="0" wp14:anchorId="09B8D082" wp14:editId="1223D316">
            <wp:extent cx="5760720" cy="3098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architecture.png"/>
                    <pic:cNvPicPr/>
                  </pic:nvPicPr>
                  <pic:blipFill>
                    <a:blip r:embed="rId8"/>
                    <a:stretch>
                      <a:fillRect/>
                    </a:stretch>
                  </pic:blipFill>
                  <pic:spPr>
                    <a:xfrm>
                      <a:off x="0" y="0"/>
                      <a:ext cx="5760720" cy="3098202"/>
                    </a:xfrm>
                    <a:prstGeom prst="rect">
                      <a:avLst/>
                    </a:prstGeom>
                  </pic:spPr>
                </pic:pic>
              </a:graphicData>
            </a:graphic>
          </wp:inline>
        </w:drawing>
      </w:r>
    </w:p>
    <w:p w14:paraId="37D67F0D" w14:textId="77777777" w:rsidR="00722E74" w:rsidRDefault="00000000">
      <w:pPr>
        <w:jc w:val="center"/>
      </w:pPr>
      <w:r>
        <w:rPr>
          <w:rFonts w:ascii="Calibri" w:hAnsi="Calibri"/>
          <w:i/>
          <w:color w:val="646E78"/>
          <w:sz w:val="19"/>
        </w:rPr>
        <w:t>Figure: End-to-End Machine Learning System Lifecycle Architecture and Feedback Loops.</w:t>
      </w:r>
    </w:p>
    <w:p w14:paraId="3AD4DC4F" w14:textId="77777777" w:rsidR="00722E74" w:rsidRDefault="00000000">
      <w:pPr>
        <w:spacing w:after="120"/>
      </w:pPr>
      <w:r>
        <w:rPr>
          <w:rFonts w:ascii="Calibri" w:hAnsi="Calibri"/>
          <w:color w:val="2C3E50"/>
          <w:sz w:val="21"/>
        </w:rPr>
        <w:t>The lifecycle is structured into distinct, decoupled stages to ensure continuous integration, testing, and governance:</w:t>
      </w:r>
    </w:p>
    <w:p w14:paraId="1314913A" w14:textId="77777777" w:rsidR="00722E74" w:rsidRDefault="00000000">
      <w:pPr>
        <w:pStyle w:val="ListBullet"/>
        <w:spacing w:after="60"/>
      </w:pPr>
      <w:r>
        <w:rPr>
          <w:rFonts w:ascii="Calibri" w:hAnsi="Calibri"/>
          <w:b/>
          <w:color w:val="1B365D"/>
          <w:sz w:val="21"/>
        </w:rPr>
        <w:t xml:space="preserve">Phase 1 (Ingestion &amp; Profiling): </w:t>
      </w:r>
      <w:r>
        <w:rPr>
          <w:rFonts w:ascii="Calibri" w:hAnsi="Calibri"/>
          <w:color w:val="2C3E50"/>
          <w:sz w:val="21"/>
        </w:rPr>
        <w:t>Automated data ingestion from telemetry lakes, billing databases, and CRM logs with Pydantic/Great Expectations schema validation.</w:t>
      </w:r>
    </w:p>
    <w:p w14:paraId="17141F56" w14:textId="77777777" w:rsidR="00722E74" w:rsidRDefault="00000000">
      <w:pPr>
        <w:pStyle w:val="ListBullet"/>
        <w:spacing w:after="60"/>
      </w:pPr>
      <w:r>
        <w:rPr>
          <w:rFonts w:ascii="Calibri" w:hAnsi="Calibri"/>
          <w:b/>
          <w:color w:val="1B365D"/>
          <w:sz w:val="21"/>
        </w:rPr>
        <w:t xml:space="preserve">Phase 2 (Preprocessing Pipeline): </w:t>
      </w:r>
      <w:r>
        <w:rPr>
          <w:rFonts w:ascii="Calibri" w:hAnsi="Calibri"/>
          <w:color w:val="2C3E50"/>
          <w:sz w:val="21"/>
        </w:rPr>
        <w:t>Strict train-test isolated transformations, outlier treatment, Yeo-Johnson transforms, target encoding, and SMOTE-NC balancing.</w:t>
      </w:r>
    </w:p>
    <w:p w14:paraId="7A02E1BB" w14:textId="77777777" w:rsidR="00722E74" w:rsidRDefault="00000000">
      <w:pPr>
        <w:pStyle w:val="ListBullet"/>
        <w:spacing w:after="60"/>
      </w:pPr>
      <w:r>
        <w:rPr>
          <w:rFonts w:ascii="Calibri" w:hAnsi="Calibri"/>
          <w:b/>
          <w:color w:val="1B365D"/>
          <w:sz w:val="21"/>
        </w:rPr>
        <w:t xml:space="preserve">Phase 3 (Model Exploration): </w:t>
      </w:r>
      <w:r>
        <w:rPr>
          <w:rFonts w:ascii="Calibri" w:hAnsi="Calibri"/>
          <w:color w:val="2C3E50"/>
          <w:sz w:val="21"/>
        </w:rPr>
        <w:t>Benchmarking Logistic Regression, Random Forest, XGBoost, LightGBM, CatBoost, and TabNet architectures.</w:t>
      </w:r>
    </w:p>
    <w:p w14:paraId="5B9ACBAD" w14:textId="77777777" w:rsidR="00722E74" w:rsidRDefault="00000000">
      <w:pPr>
        <w:pStyle w:val="ListBullet"/>
        <w:spacing w:after="60"/>
      </w:pPr>
      <w:r>
        <w:rPr>
          <w:rFonts w:ascii="Calibri" w:hAnsi="Calibri"/>
          <w:b/>
          <w:color w:val="1B365D"/>
          <w:sz w:val="21"/>
        </w:rPr>
        <w:t xml:space="preserve">Phase 4 (Validation &amp; Optimization): </w:t>
      </w:r>
      <w:r>
        <w:rPr>
          <w:rFonts w:ascii="Calibri" w:hAnsi="Calibri"/>
          <w:color w:val="2C3E50"/>
          <w:sz w:val="21"/>
        </w:rPr>
        <w:t>5-Fold Nested Stratified Cross-Validation combined with Optuna Bayesian search under PR-AUC and cost-benefit utility matrices.</w:t>
      </w:r>
    </w:p>
    <w:p w14:paraId="5C8498B8" w14:textId="77777777" w:rsidR="00722E74" w:rsidRDefault="00000000">
      <w:pPr>
        <w:pStyle w:val="ListBullet"/>
        <w:spacing w:after="60"/>
      </w:pPr>
      <w:r>
        <w:rPr>
          <w:rFonts w:ascii="Calibri" w:hAnsi="Calibri"/>
          <w:b/>
          <w:color w:val="1B365D"/>
          <w:sz w:val="21"/>
        </w:rPr>
        <w:t xml:space="preserve">Phase 5 (Explainability &amp; Governance): </w:t>
      </w:r>
      <w:r>
        <w:rPr>
          <w:rFonts w:ascii="Calibri" w:hAnsi="Calibri"/>
          <w:color w:val="2C3E50"/>
          <w:sz w:val="21"/>
        </w:rPr>
        <w:t>Global &amp; local feature attributions via TreeSHAP, demographic fairness parity tests, and artifact signing.</w:t>
      </w:r>
    </w:p>
    <w:p w14:paraId="65E3A1C2" w14:textId="77777777" w:rsidR="00722E74" w:rsidRDefault="00000000">
      <w:pPr>
        <w:pStyle w:val="ListBullet"/>
        <w:spacing w:after="60"/>
      </w:pPr>
      <w:r>
        <w:rPr>
          <w:rFonts w:ascii="Calibri" w:hAnsi="Calibri"/>
          <w:b/>
          <w:color w:val="1B365D"/>
          <w:sz w:val="21"/>
        </w:rPr>
        <w:t xml:space="preserve">Phase 6 (Production Deployment): </w:t>
      </w:r>
      <w:r>
        <w:rPr>
          <w:rFonts w:ascii="Calibri" w:hAnsi="Calibri"/>
          <w:color w:val="2C3E50"/>
          <w:sz w:val="21"/>
        </w:rPr>
        <w:t>Containerized FastAPI microservice with sub-25ms response latency, ONNX runtime optimization, and automated health checks.</w:t>
      </w:r>
    </w:p>
    <w:p w14:paraId="68C1844A" w14:textId="77777777" w:rsidR="00722E74" w:rsidRDefault="00000000">
      <w:pPr>
        <w:pStyle w:val="ListBullet"/>
        <w:spacing w:after="60"/>
      </w:pPr>
      <w:r>
        <w:rPr>
          <w:rFonts w:ascii="Calibri" w:hAnsi="Calibri"/>
          <w:b/>
          <w:color w:val="1B365D"/>
          <w:sz w:val="21"/>
        </w:rPr>
        <w:t xml:space="preserve">Phase 7 (MLOps Observability): </w:t>
      </w:r>
      <w:r>
        <w:rPr>
          <w:rFonts w:ascii="Calibri" w:hAnsi="Calibri"/>
          <w:color w:val="2C3E50"/>
          <w:sz w:val="21"/>
        </w:rPr>
        <w:t>Real-time Population Stability Index (PSI) tracking, Kolmogorov-Smirnov drift detection, and automated trigger pipelines.</w:t>
      </w:r>
    </w:p>
    <w:p w14:paraId="62FCEB8A" w14:textId="77777777" w:rsidR="00722E74" w:rsidRDefault="00000000">
      <w:pPr>
        <w:keepNext/>
        <w:spacing w:before="320" w:after="120"/>
      </w:pPr>
      <w:r>
        <w:rPr>
          <w:rFonts w:ascii="Segoe UI" w:hAnsi="Segoe UI"/>
          <w:b/>
          <w:color w:val="1B365D"/>
          <w:sz w:val="32"/>
        </w:rPr>
        <w:t>3. Data Preprocessing &amp; Feature Engineering Pipeline</w:t>
      </w:r>
    </w:p>
    <w:p w14:paraId="1BE4F31D" w14:textId="77777777" w:rsidR="00722E74" w:rsidRDefault="00000000">
      <w:pPr>
        <w:spacing w:after="120"/>
      </w:pPr>
      <w:r>
        <w:rPr>
          <w:rFonts w:ascii="Calibri" w:hAnsi="Calibri"/>
          <w:color w:val="2C3E50"/>
          <w:sz w:val="21"/>
        </w:rPr>
        <w:t>Data quality and feature representation form the foundation of model performance. A flawed preprocessing step introduces subtle data leakage, leading to artificially inflated cross-validation scores that collapse in production.</w:t>
      </w:r>
    </w:p>
    <w:p w14:paraId="394F5B2E" w14:textId="77777777" w:rsidR="00722E74" w:rsidRDefault="00000000">
      <w:pPr>
        <w:spacing w:before="160" w:after="80"/>
        <w:jc w:val="center"/>
      </w:pPr>
      <w:r>
        <w:rPr>
          <w:noProof/>
        </w:rPr>
        <w:drawing>
          <wp:inline distT="0" distB="0" distL="0" distR="0" wp14:anchorId="0365ADE4" wp14:editId="6ECCAE76">
            <wp:extent cx="5760720" cy="31181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pipeline.png"/>
                    <pic:cNvPicPr/>
                  </pic:nvPicPr>
                  <pic:blipFill>
                    <a:blip r:embed="rId9"/>
                    <a:stretch>
                      <a:fillRect/>
                    </a:stretch>
                  </pic:blipFill>
                  <pic:spPr>
                    <a:xfrm>
                      <a:off x="0" y="0"/>
                      <a:ext cx="5760720" cy="3118188"/>
                    </a:xfrm>
                    <a:prstGeom prst="rect">
                      <a:avLst/>
                    </a:prstGeom>
                  </pic:spPr>
                </pic:pic>
              </a:graphicData>
            </a:graphic>
          </wp:inline>
        </w:drawing>
      </w:r>
    </w:p>
    <w:p w14:paraId="3469BDAB" w14:textId="77777777" w:rsidR="00722E74" w:rsidRDefault="00000000">
      <w:pPr>
        <w:jc w:val="center"/>
      </w:pPr>
      <w:r>
        <w:rPr>
          <w:rFonts w:ascii="Calibri" w:hAnsi="Calibri"/>
          <w:i/>
          <w:color w:val="646E78"/>
          <w:sz w:val="19"/>
        </w:rPr>
        <w:t>Figure: Modular Data Preprocessing &amp; Feature Engineering Pipeline with Strict Train-Test Isolation.</w:t>
      </w:r>
    </w:p>
    <w:p w14:paraId="579E074F" w14:textId="77777777" w:rsidR="00722E74" w:rsidRDefault="00000000">
      <w:pPr>
        <w:keepNext/>
        <w:spacing w:before="240" w:after="80"/>
      </w:pPr>
      <w:r>
        <w:rPr>
          <w:rFonts w:ascii="Segoe UI" w:hAnsi="Segoe UI"/>
          <w:b/>
          <w:color w:val="2E6B9E"/>
          <w:sz w:val="26"/>
        </w:rPr>
        <w:t>3.1 Data Cleaning &amp; Anomaly Treatment</w:t>
      </w:r>
    </w:p>
    <w:p w14:paraId="648B58C2" w14:textId="77777777" w:rsidR="00722E74" w:rsidRDefault="00000000">
      <w:pPr>
        <w:pStyle w:val="ListBullet"/>
        <w:spacing w:after="60"/>
      </w:pPr>
      <w:r>
        <w:rPr>
          <w:rFonts w:ascii="Calibri" w:hAnsi="Calibri"/>
          <w:b/>
          <w:color w:val="1B365D"/>
          <w:sz w:val="21"/>
        </w:rPr>
        <w:t xml:space="preserve">Missing Value Imputation: </w:t>
      </w:r>
      <w:r>
        <w:rPr>
          <w:rFonts w:ascii="Calibri" w:hAnsi="Calibri"/>
          <w:color w:val="2C3E50"/>
          <w:sz w:val="21"/>
        </w:rPr>
        <w:t>Diagnosing missingness mechanisms (MCAR, MAR, MNAR). Numerical fields with MAR are imputed via IterativeImputer (MICE) or KNNImputer (k=5) fitted strictly on training folds. Categorical columns receive an explicit 'Missing_Category' token.</w:t>
      </w:r>
    </w:p>
    <w:p w14:paraId="50D8FC5E" w14:textId="77777777" w:rsidR="00722E74" w:rsidRDefault="00000000">
      <w:pPr>
        <w:pStyle w:val="ListBullet"/>
        <w:spacing w:after="60"/>
      </w:pPr>
      <w:r>
        <w:rPr>
          <w:rFonts w:ascii="Calibri" w:hAnsi="Calibri"/>
          <w:b/>
          <w:color w:val="1B365D"/>
          <w:sz w:val="21"/>
        </w:rPr>
        <w:t xml:space="preserve">Outlier Detection &amp; Winsorization: </w:t>
      </w:r>
      <w:r>
        <w:rPr>
          <w:rFonts w:ascii="Calibri" w:hAnsi="Calibri"/>
          <w:color w:val="2C3E50"/>
          <w:sz w:val="21"/>
        </w:rPr>
        <w:t>Outliers in usage telemetry (e.g., extreme bandwidth or API call spikes) are flagged using Isolation Forest (contamination=0.01) and winsorized at 1st and 99th percentiles rather than arbitrarily dropped.</w:t>
      </w:r>
    </w:p>
    <w:p w14:paraId="2F567F96" w14:textId="77777777" w:rsidR="00722E74" w:rsidRDefault="00000000">
      <w:pPr>
        <w:pStyle w:val="ListBullet"/>
        <w:spacing w:after="60"/>
      </w:pPr>
      <w:r>
        <w:rPr>
          <w:rFonts w:ascii="Calibri" w:hAnsi="Calibri"/>
          <w:b/>
          <w:color w:val="1B365D"/>
          <w:sz w:val="21"/>
        </w:rPr>
        <w:t xml:space="preserve">Schema &amp; Type Integrity: </w:t>
      </w:r>
      <w:r>
        <w:rPr>
          <w:rFonts w:ascii="Calibri" w:hAnsi="Calibri"/>
          <w:color w:val="2C3E50"/>
          <w:sz w:val="21"/>
        </w:rPr>
        <w:t>Enforcing strict schema typing, parsing ISO 8601 timestamps into elapsed tenures, and validating primary keys across CRM and Billing joins.</w:t>
      </w:r>
    </w:p>
    <w:p w14:paraId="24696460" w14:textId="77777777" w:rsidR="00722E74" w:rsidRDefault="00000000">
      <w:pPr>
        <w:keepNext/>
        <w:spacing w:before="240" w:after="80"/>
      </w:pPr>
      <w:r>
        <w:rPr>
          <w:rFonts w:ascii="Segoe UI" w:hAnsi="Segoe UI"/>
          <w:b/>
          <w:color w:val="2E6B9E"/>
          <w:sz w:val="26"/>
        </w:rPr>
        <w:t>3.2 Feature Transformation &amp; Scaling</w:t>
      </w:r>
    </w:p>
    <w:p w14:paraId="7A3C8A44" w14:textId="77777777" w:rsidR="00722E74" w:rsidRDefault="00000000">
      <w:pPr>
        <w:pStyle w:val="ListBullet"/>
        <w:spacing w:after="60"/>
      </w:pPr>
      <w:r>
        <w:rPr>
          <w:rFonts w:ascii="Calibri" w:hAnsi="Calibri"/>
          <w:b/>
          <w:color w:val="1B365D"/>
          <w:sz w:val="21"/>
        </w:rPr>
        <w:t xml:space="preserve">Numerical Transformation: </w:t>
      </w:r>
      <w:r>
        <w:rPr>
          <w:rFonts w:ascii="Calibri" w:hAnsi="Calibri"/>
          <w:color w:val="2C3E50"/>
          <w:sz w:val="21"/>
        </w:rPr>
        <w:t>Highly skewed financial metrics (e.g., MonthlySpend, TotalRevenue) undergo Yeo-Johnson power transformations to normalize residual distributions, followed by RobustScaler to resist remaining heavy tails.</w:t>
      </w:r>
    </w:p>
    <w:p w14:paraId="7F915945" w14:textId="77777777" w:rsidR="00722E74" w:rsidRDefault="00000000">
      <w:pPr>
        <w:pStyle w:val="ListBullet"/>
        <w:spacing w:after="60"/>
      </w:pPr>
      <w:r>
        <w:rPr>
          <w:rFonts w:ascii="Calibri" w:hAnsi="Calibri"/>
          <w:b/>
          <w:color w:val="1B365D"/>
          <w:sz w:val="21"/>
        </w:rPr>
        <w:t xml:space="preserve">Categorical Encoding: </w:t>
      </w:r>
      <w:r>
        <w:rPr>
          <w:rFonts w:ascii="Calibri" w:hAnsi="Calibri"/>
          <w:color w:val="2C3E50"/>
          <w:sz w:val="21"/>
        </w:rPr>
        <w:t>Low-cardinality nominal variables (e.g., ContractType, PaymentMethod) are One-Hot Encoded (drop='first'). High-cardinality features (e.g., PostalRegion, IndustrySubcategory) undergo Smoothed Target Encoding with cross-validation regularization to prevent target leakage.</w:t>
      </w:r>
    </w:p>
    <w:p w14:paraId="061AB4F7" w14:textId="77777777" w:rsidR="00722E74" w:rsidRDefault="00000000">
      <w:pPr>
        <w:pStyle w:val="ListBullet"/>
        <w:spacing w:after="60"/>
      </w:pPr>
      <w:r>
        <w:rPr>
          <w:rFonts w:ascii="Calibri" w:hAnsi="Calibri"/>
          <w:b/>
          <w:color w:val="1B365D"/>
          <w:sz w:val="21"/>
        </w:rPr>
        <w:t xml:space="preserve">Ordinal Binning: </w:t>
      </w:r>
      <w:r>
        <w:rPr>
          <w:rFonts w:ascii="Calibri" w:hAnsi="Calibri"/>
          <w:color w:val="2C3E50"/>
          <w:sz w:val="21"/>
        </w:rPr>
        <w:t>Contract length and customer tenure are segmented into ordinal risk brackets based on empirical hazard rates.</w:t>
      </w:r>
    </w:p>
    <w:p w14:paraId="499D15D0" w14:textId="77777777" w:rsidR="00722E74" w:rsidRDefault="00000000">
      <w:pPr>
        <w:keepNext/>
        <w:spacing w:before="240" w:after="80"/>
      </w:pPr>
      <w:r>
        <w:rPr>
          <w:rFonts w:ascii="Segoe UI" w:hAnsi="Segoe UI"/>
          <w:b/>
          <w:color w:val="2E6B9E"/>
          <w:sz w:val="26"/>
        </w:rPr>
        <w:t>3.3 Advanced Domain Feature Engineering</w:t>
      </w:r>
    </w:p>
    <w:p w14:paraId="2A5A9B3D" w14:textId="77777777" w:rsidR="00722E74" w:rsidRDefault="00000000">
      <w:pPr>
        <w:spacing w:after="120"/>
      </w:pPr>
      <w:r>
        <w:rPr>
          <w:rFonts w:ascii="Calibri" w:hAnsi="Calibri"/>
          <w:color w:val="2C3E50"/>
          <w:sz w:val="21"/>
        </w:rPr>
        <w:t>Raw tabular features are enriched through mathematical transformations that capture behavioral decay and usage velocity:</w:t>
      </w:r>
    </w:p>
    <w:p w14:paraId="7102425B" w14:textId="77777777" w:rsidR="00722E74" w:rsidRDefault="00000000">
      <w:pPr>
        <w:pStyle w:val="ListBullet"/>
        <w:spacing w:after="60"/>
      </w:pPr>
      <w:r>
        <w:rPr>
          <w:rFonts w:ascii="Calibri" w:hAnsi="Calibri"/>
          <w:b/>
          <w:color w:val="1B365D"/>
          <w:sz w:val="21"/>
        </w:rPr>
        <w:t xml:space="preserve">1. Usage Decay Velocity (ΔUsage_30_90): </w:t>
      </w:r>
      <w:r>
        <w:rPr>
          <w:rFonts w:ascii="Calibri" w:hAnsi="Calibri"/>
          <w:color w:val="2C3E50"/>
          <w:sz w:val="21"/>
        </w:rPr>
        <w:t>Ratio of usage volume in the last 30 days compared to the 90-day moving average. A ratio &lt; 0.70 signals rapid disengagement.</w:t>
      </w:r>
    </w:p>
    <w:p w14:paraId="7EB89D08" w14:textId="77777777" w:rsidR="00722E74" w:rsidRDefault="00000000">
      <w:pPr>
        <w:pStyle w:val="ListBullet"/>
        <w:spacing w:after="60"/>
      </w:pPr>
      <w:r>
        <w:rPr>
          <w:rFonts w:ascii="Calibri" w:hAnsi="Calibri"/>
          <w:b/>
          <w:color w:val="1B365D"/>
          <w:sz w:val="21"/>
        </w:rPr>
        <w:t xml:space="preserve">2. Support Friction Index (Tickets / Tenure): </w:t>
      </w:r>
      <w:r>
        <w:rPr>
          <w:rFonts w:ascii="Calibri" w:hAnsi="Calibri"/>
          <w:color w:val="2C3E50"/>
          <w:sz w:val="21"/>
        </w:rPr>
        <w:t>Frequency of high-severity CRM tickets logged per month of active tenure. Captures unresolved friction points.</w:t>
      </w:r>
    </w:p>
    <w:p w14:paraId="0B6D4567" w14:textId="77777777" w:rsidR="00722E74" w:rsidRDefault="00000000">
      <w:pPr>
        <w:pStyle w:val="ListBullet"/>
        <w:spacing w:after="60"/>
      </w:pPr>
      <w:r>
        <w:rPr>
          <w:rFonts w:ascii="Calibri" w:hAnsi="Calibri"/>
          <w:b/>
          <w:color w:val="1B365D"/>
          <w:sz w:val="21"/>
        </w:rPr>
        <w:t xml:space="preserve">3. Payment Volatility Index (CV_Billing): </w:t>
      </w:r>
      <w:r>
        <w:rPr>
          <w:rFonts w:ascii="Calibri" w:hAnsi="Calibri"/>
          <w:color w:val="2C3E50"/>
          <w:sz w:val="21"/>
        </w:rPr>
        <w:t>Rolling standard deviation of invoice amounts divided by the mean, identifying billing disputes and erratic charges.</w:t>
      </w:r>
    </w:p>
    <w:p w14:paraId="7A0C3FE1" w14:textId="77777777" w:rsidR="00722E74" w:rsidRDefault="00000000">
      <w:pPr>
        <w:pStyle w:val="ListBullet"/>
        <w:spacing w:after="60"/>
      </w:pPr>
      <w:r>
        <w:rPr>
          <w:rFonts w:ascii="Calibri" w:hAnsi="Calibri"/>
          <w:b/>
          <w:color w:val="1B365D"/>
          <w:sz w:val="21"/>
        </w:rPr>
        <w:t xml:space="preserve">4. Loyalty-Discount Interaction (Tenure × Discount%): </w:t>
      </w:r>
      <w:r>
        <w:rPr>
          <w:rFonts w:ascii="Calibri" w:hAnsi="Calibri"/>
          <w:color w:val="2C3E50"/>
          <w:sz w:val="21"/>
        </w:rPr>
        <w:t>Multiplicative interaction between tenure duration and discount percentage, distinguishing loyalty discounts from short-term promo seekers.</w:t>
      </w:r>
    </w:p>
    <w:p w14:paraId="42FB952C" w14:textId="77777777" w:rsidR="00722E74" w:rsidRDefault="00000000">
      <w:pPr>
        <w:keepNext/>
        <w:spacing w:before="240" w:after="80"/>
      </w:pPr>
      <w:r>
        <w:rPr>
          <w:rFonts w:ascii="Segoe UI" w:hAnsi="Segoe UI"/>
          <w:b/>
          <w:color w:val="2E6B9E"/>
          <w:sz w:val="26"/>
        </w:rPr>
        <w:t>3.4 Feature Selection &amp; Dimensionality Management</w:t>
      </w:r>
    </w:p>
    <w:p w14:paraId="48968B55" w14:textId="77777777" w:rsidR="00722E74" w:rsidRDefault="00000000">
      <w:pPr>
        <w:spacing w:after="120"/>
      </w:pPr>
      <w:r>
        <w:rPr>
          <w:rFonts w:ascii="Calibri" w:hAnsi="Calibri"/>
          <w:color w:val="2C3E50"/>
          <w:sz w:val="21"/>
        </w:rPr>
        <w:t>To eliminate noise and avoid the curse of dimensionality, a multi-stage filtering protocol is applied:</w:t>
      </w:r>
    </w:p>
    <w:p w14:paraId="526C0742" w14:textId="77777777" w:rsidR="00722E74" w:rsidRDefault="00000000">
      <w:pPr>
        <w:pStyle w:val="ListBullet"/>
        <w:spacing w:after="60"/>
      </w:pPr>
      <w:r>
        <w:rPr>
          <w:rFonts w:ascii="Calibri" w:hAnsi="Calibri"/>
          <w:b/>
          <w:color w:val="1B365D"/>
          <w:sz w:val="21"/>
        </w:rPr>
        <w:t xml:space="preserve">Stage 1 (Variance Thresholding): </w:t>
      </w:r>
      <w:r>
        <w:rPr>
          <w:rFonts w:ascii="Calibri" w:hAnsi="Calibri"/>
          <w:color w:val="2C3E50"/>
          <w:sz w:val="21"/>
        </w:rPr>
        <w:t>Features with zero or near-zero variance (variance &lt; 0.01) are immediately removed.</w:t>
      </w:r>
    </w:p>
    <w:p w14:paraId="155F3E7A" w14:textId="77777777" w:rsidR="00722E74" w:rsidRDefault="00000000">
      <w:pPr>
        <w:pStyle w:val="ListBullet"/>
        <w:spacing w:after="60"/>
      </w:pPr>
      <w:r>
        <w:rPr>
          <w:rFonts w:ascii="Calibri" w:hAnsi="Calibri"/>
          <w:b/>
          <w:color w:val="1B365D"/>
          <w:sz w:val="21"/>
        </w:rPr>
        <w:t xml:space="preserve">Stage 2 (Collinearity Pruning): </w:t>
      </w:r>
      <w:r>
        <w:rPr>
          <w:rFonts w:ascii="Calibri" w:hAnsi="Calibri"/>
          <w:color w:val="2C3E50"/>
          <w:sz w:val="21"/>
        </w:rPr>
        <w:t>Pairwise Pearson/Spearman correlation matrices and Variance Inflation Factor (VIF &gt; 5.0) eliminate collinear redundant features.</w:t>
      </w:r>
    </w:p>
    <w:p w14:paraId="01EC9D73" w14:textId="77777777" w:rsidR="00722E74" w:rsidRDefault="00000000">
      <w:pPr>
        <w:pStyle w:val="ListBullet"/>
        <w:spacing w:after="60"/>
      </w:pPr>
      <w:r>
        <w:rPr>
          <w:rFonts w:ascii="Calibri" w:hAnsi="Calibri"/>
          <w:b/>
          <w:color w:val="1B365D"/>
          <w:sz w:val="21"/>
        </w:rPr>
        <w:t xml:space="preserve">Stage 3 (Non-Linear Mutual Information): </w:t>
      </w:r>
      <w:r>
        <w:rPr>
          <w:rFonts w:ascii="Calibri" w:hAnsi="Calibri"/>
          <w:color w:val="2C3E50"/>
          <w:sz w:val="21"/>
        </w:rPr>
        <w:t>Calculating Mutual Information (MI) against target y to identify non-linear relationships.</w:t>
      </w:r>
    </w:p>
    <w:p w14:paraId="6D60F10F" w14:textId="77777777" w:rsidR="00722E74" w:rsidRDefault="00000000">
      <w:pPr>
        <w:pStyle w:val="ListBullet"/>
        <w:spacing w:after="60"/>
      </w:pPr>
      <w:r>
        <w:rPr>
          <w:rFonts w:ascii="Calibri" w:hAnsi="Calibri"/>
          <w:b/>
          <w:color w:val="1B365D"/>
          <w:sz w:val="21"/>
        </w:rPr>
        <w:t xml:space="preserve">Stage 4 (RFECV Wrapper Selection): </w:t>
      </w:r>
      <w:r>
        <w:rPr>
          <w:rFonts w:ascii="Calibri" w:hAnsi="Calibri"/>
          <w:color w:val="2C3E50"/>
          <w:sz w:val="21"/>
        </w:rPr>
        <w:t>Recursive Feature Elimination with Stratified 5-Fold Cross-Validation (RFECV) on a LightGBM estimator to select the optimal subset of predictive features.</w:t>
      </w:r>
    </w:p>
    <w:p w14:paraId="3B0CB3B4" w14:textId="77777777" w:rsidR="00722E74" w:rsidRDefault="00000000">
      <w:pPr>
        <w:keepNext/>
        <w:spacing w:before="240" w:after="80"/>
      </w:pPr>
      <w:r>
        <w:rPr>
          <w:rFonts w:ascii="Segoe UI" w:hAnsi="Segoe UI"/>
          <w:b/>
          <w:color w:val="2E6B9E"/>
          <w:sz w:val="26"/>
        </w:rPr>
        <w:t>3.5 Addressing Severe Class Imbalance</w:t>
      </w:r>
    </w:p>
    <w:p w14:paraId="7156D67B" w14:textId="77777777" w:rsidR="00722E74" w:rsidRDefault="00000000">
      <w:pPr>
        <w:spacing w:after="120"/>
      </w:pPr>
      <w:r>
        <w:rPr>
          <w:rFonts w:ascii="Calibri" w:hAnsi="Calibri"/>
          <w:color w:val="2C3E50"/>
          <w:sz w:val="21"/>
        </w:rPr>
        <w:t>Customer churn typically exhibits a 15% to 20% minority class proportion. Standard accuracy-driven training collapses towards the majority class. The plan employs a 3-pronged mitigation strategy:</w:t>
      </w:r>
    </w:p>
    <w:p w14:paraId="2B6F2193" w14:textId="77777777" w:rsidR="00722E74" w:rsidRDefault="00000000">
      <w:pPr>
        <w:pStyle w:val="ListBullet"/>
        <w:spacing w:after="60"/>
      </w:pPr>
      <w:r>
        <w:rPr>
          <w:rFonts w:ascii="Calibri" w:hAnsi="Calibri"/>
          <w:b/>
          <w:color w:val="1B365D"/>
          <w:sz w:val="21"/>
        </w:rPr>
        <w:t xml:space="preserve">1. Resampling via SMOTE-NC: </w:t>
      </w:r>
      <w:r>
        <w:rPr>
          <w:rFonts w:ascii="Calibri" w:hAnsi="Calibri"/>
          <w:color w:val="2C3E50"/>
          <w:sz w:val="21"/>
        </w:rPr>
        <w:t>Synthetic Minority Over-sampling Technique for Nominal and Continuous features applied EXCLUSIVELY to training folds (never to validation or test splits).</w:t>
      </w:r>
    </w:p>
    <w:p w14:paraId="6167C5AA" w14:textId="77777777" w:rsidR="00722E74" w:rsidRDefault="00000000">
      <w:pPr>
        <w:pStyle w:val="ListBullet"/>
        <w:spacing w:after="60"/>
      </w:pPr>
      <w:r>
        <w:rPr>
          <w:rFonts w:ascii="Calibri" w:hAnsi="Calibri"/>
          <w:b/>
          <w:color w:val="1B365D"/>
          <w:sz w:val="21"/>
        </w:rPr>
        <w:t xml:space="preserve">2. Cost-Weighted Loss Optimization: </w:t>
      </w:r>
      <w:r>
        <w:rPr>
          <w:rFonts w:ascii="Calibri" w:hAnsi="Calibri"/>
          <w:color w:val="2C3E50"/>
          <w:sz w:val="21"/>
        </w:rPr>
        <w:t>Incorporating scale_pos_weight = (N_neg / N_pos) in LightGBM/XGBoost, penalizing false negative errors proportionally during gradient descent.</w:t>
      </w:r>
    </w:p>
    <w:p w14:paraId="6516EC9D" w14:textId="77777777" w:rsidR="00722E74" w:rsidRDefault="00000000">
      <w:pPr>
        <w:pStyle w:val="ListBullet"/>
        <w:spacing w:after="60"/>
      </w:pPr>
      <w:r>
        <w:rPr>
          <w:rFonts w:ascii="Calibri" w:hAnsi="Calibri"/>
          <w:b/>
          <w:color w:val="1B365D"/>
          <w:sz w:val="21"/>
        </w:rPr>
        <w:t xml:space="preserve">3. Post-Hoc Threshold Optimization: </w:t>
      </w:r>
      <w:r>
        <w:rPr>
          <w:rFonts w:ascii="Calibri" w:hAnsi="Calibri"/>
          <w:color w:val="2C3E50"/>
          <w:sz w:val="21"/>
        </w:rPr>
        <w:t>Adjusting the classification decision threshold from default 0.50 down to optimal probability threshold θ* derived via cost-benefit utility curve optimization.</w:t>
      </w:r>
    </w:p>
    <w:p w14:paraId="3B80256B" w14:textId="77777777" w:rsidR="00722E74" w:rsidRDefault="00000000">
      <w:pPr>
        <w:keepNext/>
        <w:spacing w:before="320" w:after="120"/>
      </w:pPr>
      <w:r>
        <w:rPr>
          <w:rFonts w:ascii="Segoe UI" w:hAnsi="Segoe UI"/>
          <w:b/>
          <w:color w:val="1B365D"/>
          <w:sz w:val="32"/>
        </w:rPr>
        <w:t>4. Model Selection, Architecture Exploration &amp; Training</w:t>
      </w:r>
    </w:p>
    <w:p w14:paraId="3E28404E" w14:textId="77777777" w:rsidR="00722E74" w:rsidRDefault="00000000">
      <w:pPr>
        <w:spacing w:after="120"/>
      </w:pPr>
      <w:r>
        <w:rPr>
          <w:rFonts w:ascii="Calibri" w:hAnsi="Calibri"/>
          <w:color w:val="2C3E50"/>
          <w:sz w:val="21"/>
        </w:rPr>
        <w:t>To ensure optimal generalization on structured tabular data, a systematic model benchmark is planned across distinct model families, ranging from linear baselines to state-of-the-art gradient boosted trees and deep tabular architectures.</w:t>
      </w:r>
    </w:p>
    <w:p w14:paraId="2937C049" w14:textId="77777777" w:rsidR="00722E74" w:rsidRDefault="00000000">
      <w:pPr>
        <w:keepNext/>
        <w:spacing w:before="240" w:after="80"/>
      </w:pPr>
      <w:r>
        <w:rPr>
          <w:rFonts w:ascii="Segoe UI" w:hAnsi="Segoe UI"/>
          <w:b/>
          <w:color w:val="2E6B9E"/>
          <w:sz w:val="26"/>
        </w:rPr>
        <w:t>4.1 Candidate Model Comparison Matrix</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584"/>
        <w:gridCol w:w="1872"/>
        <w:gridCol w:w="2304"/>
        <w:gridCol w:w="2304"/>
        <w:gridCol w:w="1296"/>
      </w:tblGrid>
      <w:tr w:rsidR="00722E74" w14:paraId="75384240" w14:textId="77777777">
        <w:trPr>
          <w:jc w:val="center"/>
        </w:trPr>
        <w:tc>
          <w:tcPr>
            <w:tcW w:w="1584" w:type="dxa"/>
            <w:shd w:val="clear" w:color="auto" w:fill="1B365D"/>
            <w:tcMar>
              <w:top w:w="120" w:type="dxa"/>
              <w:left w:w="140" w:type="dxa"/>
              <w:bottom w:w="120" w:type="dxa"/>
              <w:right w:w="140" w:type="dxa"/>
            </w:tcMar>
          </w:tcPr>
          <w:p w14:paraId="5AD88317" w14:textId="77777777" w:rsidR="00722E74" w:rsidRDefault="00000000">
            <w:pPr>
              <w:spacing w:after="0"/>
            </w:pPr>
            <w:r>
              <w:rPr>
                <w:rFonts w:ascii="Segoe UI" w:hAnsi="Segoe UI"/>
                <w:b/>
                <w:color w:val="FFFFFF"/>
                <w:sz w:val="19"/>
              </w:rPr>
              <w:t>Model Family</w:t>
            </w:r>
          </w:p>
        </w:tc>
        <w:tc>
          <w:tcPr>
            <w:tcW w:w="1872" w:type="dxa"/>
            <w:shd w:val="clear" w:color="auto" w:fill="1B365D"/>
            <w:tcMar>
              <w:top w:w="120" w:type="dxa"/>
              <w:left w:w="140" w:type="dxa"/>
              <w:bottom w:w="120" w:type="dxa"/>
              <w:right w:w="140" w:type="dxa"/>
            </w:tcMar>
          </w:tcPr>
          <w:p w14:paraId="3F29E9A4" w14:textId="77777777" w:rsidR="00722E74" w:rsidRDefault="00000000">
            <w:pPr>
              <w:spacing w:after="0"/>
            </w:pPr>
            <w:r>
              <w:rPr>
                <w:rFonts w:ascii="Segoe UI" w:hAnsi="Segoe UI"/>
                <w:b/>
                <w:color w:val="FFFFFF"/>
                <w:sz w:val="19"/>
              </w:rPr>
              <w:t>Algorithm</w:t>
            </w:r>
          </w:p>
        </w:tc>
        <w:tc>
          <w:tcPr>
            <w:tcW w:w="2304" w:type="dxa"/>
            <w:shd w:val="clear" w:color="auto" w:fill="1B365D"/>
            <w:tcMar>
              <w:top w:w="120" w:type="dxa"/>
              <w:left w:w="140" w:type="dxa"/>
              <w:bottom w:w="120" w:type="dxa"/>
              <w:right w:w="140" w:type="dxa"/>
            </w:tcMar>
          </w:tcPr>
          <w:p w14:paraId="45F4FBB7" w14:textId="77777777" w:rsidR="00722E74" w:rsidRDefault="00000000">
            <w:pPr>
              <w:spacing w:after="0"/>
            </w:pPr>
            <w:r>
              <w:rPr>
                <w:rFonts w:ascii="Segoe UI" w:hAnsi="Segoe UI"/>
                <w:b/>
                <w:color w:val="FFFFFF"/>
                <w:sz w:val="19"/>
              </w:rPr>
              <w:t>Key Strengths</w:t>
            </w:r>
          </w:p>
        </w:tc>
        <w:tc>
          <w:tcPr>
            <w:tcW w:w="2304" w:type="dxa"/>
            <w:shd w:val="clear" w:color="auto" w:fill="1B365D"/>
            <w:tcMar>
              <w:top w:w="120" w:type="dxa"/>
              <w:left w:w="140" w:type="dxa"/>
              <w:bottom w:w="120" w:type="dxa"/>
              <w:right w:w="140" w:type="dxa"/>
            </w:tcMar>
          </w:tcPr>
          <w:p w14:paraId="62696BBA" w14:textId="77777777" w:rsidR="00722E74" w:rsidRDefault="00000000">
            <w:pPr>
              <w:spacing w:after="0"/>
            </w:pPr>
            <w:r>
              <w:rPr>
                <w:rFonts w:ascii="Segoe UI" w:hAnsi="Segoe UI"/>
                <w:b/>
                <w:color w:val="FFFFFF"/>
                <w:sz w:val="19"/>
              </w:rPr>
              <w:t>Limitations &amp; Risks</w:t>
            </w:r>
          </w:p>
        </w:tc>
        <w:tc>
          <w:tcPr>
            <w:tcW w:w="1296" w:type="dxa"/>
            <w:shd w:val="clear" w:color="auto" w:fill="1B365D"/>
            <w:tcMar>
              <w:top w:w="120" w:type="dxa"/>
              <w:left w:w="140" w:type="dxa"/>
              <w:bottom w:w="120" w:type="dxa"/>
              <w:right w:w="140" w:type="dxa"/>
            </w:tcMar>
          </w:tcPr>
          <w:p w14:paraId="0156AD05" w14:textId="77777777" w:rsidR="00722E74" w:rsidRDefault="00000000">
            <w:pPr>
              <w:spacing w:after="0"/>
            </w:pPr>
            <w:r>
              <w:rPr>
                <w:rFonts w:ascii="Segoe UI" w:hAnsi="Segoe UI"/>
                <w:b/>
                <w:color w:val="FFFFFF"/>
                <w:sz w:val="19"/>
              </w:rPr>
              <w:t>Suitability Rank</w:t>
            </w:r>
          </w:p>
        </w:tc>
      </w:tr>
      <w:tr w:rsidR="00722E74" w14:paraId="532B65B2" w14:textId="77777777">
        <w:trPr>
          <w:jc w:val="center"/>
        </w:trPr>
        <w:tc>
          <w:tcPr>
            <w:tcW w:w="1584" w:type="dxa"/>
            <w:shd w:val="clear" w:color="auto" w:fill="FFFFFF"/>
            <w:tcMar>
              <w:top w:w="100" w:type="dxa"/>
              <w:left w:w="140" w:type="dxa"/>
              <w:bottom w:w="100" w:type="dxa"/>
              <w:right w:w="140" w:type="dxa"/>
            </w:tcMar>
          </w:tcPr>
          <w:p w14:paraId="0A527C41" w14:textId="77777777" w:rsidR="00722E74" w:rsidRDefault="00000000">
            <w:pPr>
              <w:spacing w:after="0" w:line="264" w:lineRule="auto"/>
            </w:pPr>
            <w:r>
              <w:rPr>
                <w:rFonts w:ascii="Calibri" w:hAnsi="Calibri"/>
                <w:color w:val="2C3E50"/>
                <w:sz w:val="19"/>
              </w:rPr>
              <w:t>Linear Baseline</w:t>
            </w:r>
          </w:p>
        </w:tc>
        <w:tc>
          <w:tcPr>
            <w:tcW w:w="1872" w:type="dxa"/>
            <w:shd w:val="clear" w:color="auto" w:fill="FFFFFF"/>
            <w:tcMar>
              <w:top w:w="100" w:type="dxa"/>
              <w:left w:w="140" w:type="dxa"/>
              <w:bottom w:w="100" w:type="dxa"/>
              <w:right w:w="140" w:type="dxa"/>
            </w:tcMar>
          </w:tcPr>
          <w:p w14:paraId="197570F4" w14:textId="77777777" w:rsidR="00722E74" w:rsidRDefault="00000000">
            <w:pPr>
              <w:spacing w:after="0" w:line="264" w:lineRule="auto"/>
            </w:pPr>
            <w:r>
              <w:rPr>
                <w:rFonts w:ascii="Calibri" w:hAnsi="Calibri"/>
                <w:color w:val="2C3E50"/>
                <w:sz w:val="19"/>
              </w:rPr>
              <w:t>Logistic Regression (L1/L2 ElasticNet)</w:t>
            </w:r>
          </w:p>
        </w:tc>
        <w:tc>
          <w:tcPr>
            <w:tcW w:w="2304" w:type="dxa"/>
            <w:shd w:val="clear" w:color="auto" w:fill="FFFFFF"/>
            <w:tcMar>
              <w:top w:w="100" w:type="dxa"/>
              <w:left w:w="140" w:type="dxa"/>
              <w:bottom w:w="100" w:type="dxa"/>
              <w:right w:w="140" w:type="dxa"/>
            </w:tcMar>
          </w:tcPr>
          <w:p w14:paraId="497B01FA" w14:textId="77777777" w:rsidR="00722E74" w:rsidRDefault="00000000">
            <w:pPr>
              <w:spacing w:after="0" w:line="264" w:lineRule="auto"/>
            </w:pPr>
            <w:r>
              <w:rPr>
                <w:rFonts w:ascii="Calibri" w:hAnsi="Calibri"/>
                <w:color w:val="2C3E50"/>
                <w:sz w:val="19"/>
              </w:rPr>
              <w:t>Highly interpretable, fast inference (&lt;1ms), clear benchmark.</w:t>
            </w:r>
          </w:p>
        </w:tc>
        <w:tc>
          <w:tcPr>
            <w:tcW w:w="2304" w:type="dxa"/>
            <w:shd w:val="clear" w:color="auto" w:fill="FFFFFF"/>
            <w:tcMar>
              <w:top w:w="100" w:type="dxa"/>
              <w:left w:w="140" w:type="dxa"/>
              <w:bottom w:w="100" w:type="dxa"/>
              <w:right w:w="140" w:type="dxa"/>
            </w:tcMar>
          </w:tcPr>
          <w:p w14:paraId="0F07BCA6" w14:textId="77777777" w:rsidR="00722E74" w:rsidRDefault="00000000">
            <w:pPr>
              <w:spacing w:after="0" w:line="264" w:lineRule="auto"/>
            </w:pPr>
            <w:r>
              <w:rPr>
                <w:rFonts w:ascii="Calibri" w:hAnsi="Calibri"/>
                <w:color w:val="2C3E50"/>
                <w:sz w:val="19"/>
              </w:rPr>
              <w:t>Fails to capture complex non-linear feature interactions without manual polynomial expansion.</w:t>
            </w:r>
          </w:p>
        </w:tc>
        <w:tc>
          <w:tcPr>
            <w:tcW w:w="1296" w:type="dxa"/>
            <w:shd w:val="clear" w:color="auto" w:fill="FFFFFF"/>
            <w:tcMar>
              <w:top w:w="100" w:type="dxa"/>
              <w:left w:w="140" w:type="dxa"/>
              <w:bottom w:w="100" w:type="dxa"/>
              <w:right w:w="140" w:type="dxa"/>
            </w:tcMar>
          </w:tcPr>
          <w:p w14:paraId="36DCE434" w14:textId="77777777" w:rsidR="00722E74" w:rsidRDefault="00000000">
            <w:pPr>
              <w:spacing w:after="0" w:line="264" w:lineRule="auto"/>
            </w:pPr>
            <w:r>
              <w:rPr>
                <w:rFonts w:ascii="Calibri" w:hAnsi="Calibri"/>
                <w:color w:val="2C3E50"/>
                <w:sz w:val="19"/>
              </w:rPr>
              <w:t>Baseline / Reference (Rank 4)</w:t>
            </w:r>
          </w:p>
        </w:tc>
      </w:tr>
      <w:tr w:rsidR="00722E74" w14:paraId="3BBCFB39" w14:textId="77777777">
        <w:trPr>
          <w:jc w:val="center"/>
        </w:trPr>
        <w:tc>
          <w:tcPr>
            <w:tcW w:w="1584" w:type="dxa"/>
            <w:shd w:val="clear" w:color="auto" w:fill="F4F7FA"/>
            <w:tcMar>
              <w:top w:w="100" w:type="dxa"/>
              <w:left w:w="140" w:type="dxa"/>
              <w:bottom w:w="100" w:type="dxa"/>
              <w:right w:w="140" w:type="dxa"/>
            </w:tcMar>
          </w:tcPr>
          <w:p w14:paraId="42E95074" w14:textId="77777777" w:rsidR="00722E74" w:rsidRDefault="00000000">
            <w:pPr>
              <w:spacing w:after="0" w:line="264" w:lineRule="auto"/>
            </w:pPr>
            <w:r>
              <w:rPr>
                <w:rFonts w:ascii="Calibri" w:hAnsi="Calibri"/>
                <w:color w:val="2C3E50"/>
                <w:sz w:val="19"/>
              </w:rPr>
              <w:t>Ensemble Bagging</w:t>
            </w:r>
          </w:p>
        </w:tc>
        <w:tc>
          <w:tcPr>
            <w:tcW w:w="1872" w:type="dxa"/>
            <w:shd w:val="clear" w:color="auto" w:fill="F4F7FA"/>
            <w:tcMar>
              <w:top w:w="100" w:type="dxa"/>
              <w:left w:w="140" w:type="dxa"/>
              <w:bottom w:w="100" w:type="dxa"/>
              <w:right w:w="140" w:type="dxa"/>
            </w:tcMar>
          </w:tcPr>
          <w:p w14:paraId="0BC05679" w14:textId="77777777" w:rsidR="00722E74" w:rsidRDefault="00000000">
            <w:pPr>
              <w:spacing w:after="0" w:line="264" w:lineRule="auto"/>
            </w:pPr>
            <w:r>
              <w:rPr>
                <w:rFonts w:ascii="Calibri" w:hAnsi="Calibri"/>
                <w:color w:val="2C3E50"/>
                <w:sz w:val="19"/>
              </w:rPr>
              <w:t>Random Forest Classifier</w:t>
            </w:r>
          </w:p>
        </w:tc>
        <w:tc>
          <w:tcPr>
            <w:tcW w:w="2304" w:type="dxa"/>
            <w:shd w:val="clear" w:color="auto" w:fill="F4F7FA"/>
            <w:tcMar>
              <w:top w:w="100" w:type="dxa"/>
              <w:left w:w="140" w:type="dxa"/>
              <w:bottom w:w="100" w:type="dxa"/>
              <w:right w:w="140" w:type="dxa"/>
            </w:tcMar>
          </w:tcPr>
          <w:p w14:paraId="6CC21BBF" w14:textId="77777777" w:rsidR="00722E74" w:rsidRDefault="00000000">
            <w:pPr>
              <w:spacing w:after="0" w:line="264" w:lineRule="auto"/>
            </w:pPr>
            <w:r>
              <w:rPr>
                <w:rFonts w:ascii="Calibri" w:hAnsi="Calibri"/>
                <w:color w:val="2C3E50"/>
                <w:sz w:val="19"/>
              </w:rPr>
              <w:t>Robust to outliers, captures non-linearities, low risk of overfitting.</w:t>
            </w:r>
          </w:p>
        </w:tc>
        <w:tc>
          <w:tcPr>
            <w:tcW w:w="2304" w:type="dxa"/>
            <w:shd w:val="clear" w:color="auto" w:fill="F4F7FA"/>
            <w:tcMar>
              <w:top w:w="100" w:type="dxa"/>
              <w:left w:w="140" w:type="dxa"/>
              <w:bottom w:w="100" w:type="dxa"/>
              <w:right w:w="140" w:type="dxa"/>
            </w:tcMar>
          </w:tcPr>
          <w:p w14:paraId="6DAF6CA3" w14:textId="77777777" w:rsidR="00722E74" w:rsidRDefault="00000000">
            <w:pPr>
              <w:spacing w:after="0" w:line="264" w:lineRule="auto"/>
            </w:pPr>
            <w:r>
              <w:rPr>
                <w:rFonts w:ascii="Calibri" w:hAnsi="Calibri"/>
                <w:color w:val="2C3E50"/>
                <w:sz w:val="19"/>
              </w:rPr>
              <w:t>High memory footprint, slower prediction throughput on large trees, lacks native categorical handling.</w:t>
            </w:r>
          </w:p>
        </w:tc>
        <w:tc>
          <w:tcPr>
            <w:tcW w:w="1296" w:type="dxa"/>
            <w:shd w:val="clear" w:color="auto" w:fill="F4F7FA"/>
            <w:tcMar>
              <w:top w:w="100" w:type="dxa"/>
              <w:left w:w="140" w:type="dxa"/>
              <w:bottom w:w="100" w:type="dxa"/>
              <w:right w:w="140" w:type="dxa"/>
            </w:tcMar>
          </w:tcPr>
          <w:p w14:paraId="7DE7ABF6" w14:textId="77777777" w:rsidR="00722E74" w:rsidRDefault="00000000">
            <w:pPr>
              <w:spacing w:after="0" w:line="264" w:lineRule="auto"/>
            </w:pPr>
            <w:r>
              <w:rPr>
                <w:rFonts w:ascii="Calibri" w:hAnsi="Calibri"/>
                <w:color w:val="2C3E50"/>
                <w:sz w:val="19"/>
              </w:rPr>
              <w:t>Candidate (Rank 3)</w:t>
            </w:r>
          </w:p>
        </w:tc>
      </w:tr>
      <w:tr w:rsidR="00722E74" w14:paraId="3F4912A1" w14:textId="77777777">
        <w:trPr>
          <w:jc w:val="center"/>
        </w:trPr>
        <w:tc>
          <w:tcPr>
            <w:tcW w:w="1584" w:type="dxa"/>
            <w:shd w:val="clear" w:color="auto" w:fill="FFFFFF"/>
            <w:tcMar>
              <w:top w:w="100" w:type="dxa"/>
              <w:left w:w="140" w:type="dxa"/>
              <w:bottom w:w="100" w:type="dxa"/>
              <w:right w:w="140" w:type="dxa"/>
            </w:tcMar>
          </w:tcPr>
          <w:p w14:paraId="5BFE811D" w14:textId="77777777" w:rsidR="00722E74" w:rsidRDefault="00000000">
            <w:pPr>
              <w:spacing w:after="0" w:line="264" w:lineRule="auto"/>
            </w:pPr>
            <w:r>
              <w:rPr>
                <w:rFonts w:ascii="Calibri" w:hAnsi="Calibri"/>
                <w:color w:val="2C3E50"/>
                <w:sz w:val="19"/>
              </w:rPr>
              <w:t>Gradient Boosting</w:t>
            </w:r>
          </w:p>
        </w:tc>
        <w:tc>
          <w:tcPr>
            <w:tcW w:w="1872" w:type="dxa"/>
            <w:shd w:val="clear" w:color="auto" w:fill="FFFFFF"/>
            <w:tcMar>
              <w:top w:w="100" w:type="dxa"/>
              <w:left w:w="140" w:type="dxa"/>
              <w:bottom w:w="100" w:type="dxa"/>
              <w:right w:w="140" w:type="dxa"/>
            </w:tcMar>
          </w:tcPr>
          <w:p w14:paraId="4DAC1358" w14:textId="77777777" w:rsidR="00722E74" w:rsidRDefault="00000000">
            <w:pPr>
              <w:spacing w:after="0" w:line="264" w:lineRule="auto"/>
            </w:pPr>
            <w:r>
              <w:rPr>
                <w:rFonts w:ascii="Calibri" w:hAnsi="Calibri"/>
                <w:color w:val="2C3E50"/>
                <w:sz w:val="19"/>
              </w:rPr>
              <w:t>LightGBM / XGBoost / CatBoost</w:t>
            </w:r>
          </w:p>
        </w:tc>
        <w:tc>
          <w:tcPr>
            <w:tcW w:w="2304" w:type="dxa"/>
            <w:shd w:val="clear" w:color="auto" w:fill="FFFFFF"/>
            <w:tcMar>
              <w:top w:w="100" w:type="dxa"/>
              <w:left w:w="140" w:type="dxa"/>
              <w:bottom w:w="100" w:type="dxa"/>
              <w:right w:w="140" w:type="dxa"/>
            </w:tcMar>
          </w:tcPr>
          <w:p w14:paraId="5D6F00B1" w14:textId="77777777" w:rsidR="00722E74" w:rsidRDefault="00000000">
            <w:pPr>
              <w:spacing w:after="0" w:line="264" w:lineRule="auto"/>
            </w:pPr>
            <w:r>
              <w:rPr>
                <w:rFonts w:ascii="Calibri" w:hAnsi="Calibri"/>
                <w:color w:val="2C3E50"/>
                <w:sz w:val="19"/>
              </w:rPr>
              <w:t>State-of-the-art tabular performance, native categorical support (LightGBM/CatBoost), fast GPU training, robust regularization.</w:t>
            </w:r>
          </w:p>
        </w:tc>
        <w:tc>
          <w:tcPr>
            <w:tcW w:w="2304" w:type="dxa"/>
            <w:shd w:val="clear" w:color="auto" w:fill="FFFFFF"/>
            <w:tcMar>
              <w:top w:w="100" w:type="dxa"/>
              <w:left w:w="140" w:type="dxa"/>
              <w:bottom w:w="100" w:type="dxa"/>
              <w:right w:w="140" w:type="dxa"/>
            </w:tcMar>
          </w:tcPr>
          <w:p w14:paraId="067A6B75" w14:textId="77777777" w:rsidR="00722E74" w:rsidRDefault="00000000">
            <w:pPr>
              <w:spacing w:after="0" w:line="264" w:lineRule="auto"/>
            </w:pPr>
            <w:r>
              <w:rPr>
                <w:rFonts w:ascii="Calibri" w:hAnsi="Calibri"/>
                <w:color w:val="2C3E50"/>
                <w:sz w:val="19"/>
              </w:rPr>
              <w:t>Requires careful hyperparameter tuning; can overfit on noisy small datasets if unregularized.</w:t>
            </w:r>
          </w:p>
        </w:tc>
        <w:tc>
          <w:tcPr>
            <w:tcW w:w="1296" w:type="dxa"/>
            <w:shd w:val="clear" w:color="auto" w:fill="FFFFFF"/>
            <w:tcMar>
              <w:top w:w="100" w:type="dxa"/>
              <w:left w:w="140" w:type="dxa"/>
              <w:bottom w:w="100" w:type="dxa"/>
              <w:right w:w="140" w:type="dxa"/>
            </w:tcMar>
          </w:tcPr>
          <w:p w14:paraId="21792339" w14:textId="77777777" w:rsidR="00722E74" w:rsidRDefault="00000000">
            <w:pPr>
              <w:spacing w:after="0" w:line="264" w:lineRule="auto"/>
            </w:pPr>
            <w:r>
              <w:rPr>
                <w:rFonts w:ascii="Calibri" w:hAnsi="Calibri"/>
                <w:color w:val="2C3E50"/>
                <w:sz w:val="19"/>
              </w:rPr>
              <w:t>Primary Champion Candidate (Rank 1)</w:t>
            </w:r>
          </w:p>
        </w:tc>
      </w:tr>
      <w:tr w:rsidR="00722E74" w14:paraId="700D86C2" w14:textId="77777777">
        <w:trPr>
          <w:jc w:val="center"/>
        </w:trPr>
        <w:tc>
          <w:tcPr>
            <w:tcW w:w="1584" w:type="dxa"/>
            <w:shd w:val="clear" w:color="auto" w:fill="F4F7FA"/>
            <w:tcMar>
              <w:top w:w="100" w:type="dxa"/>
              <w:left w:w="140" w:type="dxa"/>
              <w:bottom w:w="100" w:type="dxa"/>
              <w:right w:w="140" w:type="dxa"/>
            </w:tcMar>
          </w:tcPr>
          <w:p w14:paraId="715C8AEB" w14:textId="77777777" w:rsidR="00722E74" w:rsidRDefault="00000000">
            <w:pPr>
              <w:spacing w:after="0" w:line="264" w:lineRule="auto"/>
            </w:pPr>
            <w:r>
              <w:rPr>
                <w:rFonts w:ascii="Calibri" w:hAnsi="Calibri"/>
                <w:color w:val="2C3E50"/>
                <w:sz w:val="19"/>
              </w:rPr>
              <w:t>Deep Learning</w:t>
            </w:r>
          </w:p>
        </w:tc>
        <w:tc>
          <w:tcPr>
            <w:tcW w:w="1872" w:type="dxa"/>
            <w:shd w:val="clear" w:color="auto" w:fill="F4F7FA"/>
            <w:tcMar>
              <w:top w:w="100" w:type="dxa"/>
              <w:left w:w="140" w:type="dxa"/>
              <w:bottom w:w="100" w:type="dxa"/>
              <w:right w:w="140" w:type="dxa"/>
            </w:tcMar>
          </w:tcPr>
          <w:p w14:paraId="064A50D0" w14:textId="77777777" w:rsidR="00722E74" w:rsidRDefault="00000000">
            <w:pPr>
              <w:spacing w:after="0" w:line="264" w:lineRule="auto"/>
            </w:pPr>
            <w:r>
              <w:rPr>
                <w:rFonts w:ascii="Calibri" w:hAnsi="Calibri"/>
                <w:color w:val="2C3E50"/>
                <w:sz w:val="19"/>
              </w:rPr>
              <w:t>TabNet / Multi-Layer Perceptron</w:t>
            </w:r>
          </w:p>
        </w:tc>
        <w:tc>
          <w:tcPr>
            <w:tcW w:w="2304" w:type="dxa"/>
            <w:shd w:val="clear" w:color="auto" w:fill="F4F7FA"/>
            <w:tcMar>
              <w:top w:w="100" w:type="dxa"/>
              <w:left w:w="140" w:type="dxa"/>
              <w:bottom w:w="100" w:type="dxa"/>
              <w:right w:w="140" w:type="dxa"/>
            </w:tcMar>
          </w:tcPr>
          <w:p w14:paraId="6C0ADD5A" w14:textId="77777777" w:rsidR="00722E74" w:rsidRDefault="00000000">
            <w:pPr>
              <w:spacing w:after="0" w:line="264" w:lineRule="auto"/>
            </w:pPr>
            <w:r>
              <w:rPr>
                <w:rFonts w:ascii="Calibri" w:hAnsi="Calibri"/>
                <w:color w:val="2C3E50"/>
                <w:sz w:val="19"/>
              </w:rPr>
              <w:t>Sequential attention mechanism, handles multi-modal inputs, end-to-end embedding learning.</w:t>
            </w:r>
          </w:p>
        </w:tc>
        <w:tc>
          <w:tcPr>
            <w:tcW w:w="2304" w:type="dxa"/>
            <w:shd w:val="clear" w:color="auto" w:fill="F4F7FA"/>
            <w:tcMar>
              <w:top w:w="100" w:type="dxa"/>
              <w:left w:w="140" w:type="dxa"/>
              <w:bottom w:w="100" w:type="dxa"/>
              <w:right w:w="140" w:type="dxa"/>
            </w:tcMar>
          </w:tcPr>
          <w:p w14:paraId="77DAC2D3" w14:textId="77777777" w:rsidR="00722E74" w:rsidRDefault="00000000">
            <w:pPr>
              <w:spacing w:after="0" w:line="264" w:lineRule="auto"/>
            </w:pPr>
            <w:r>
              <w:rPr>
                <w:rFonts w:ascii="Calibri" w:hAnsi="Calibri"/>
                <w:color w:val="2C3E50"/>
                <w:sz w:val="19"/>
              </w:rPr>
              <w:t>High computational cost, slower inference latency, requires massive data volume to surpass gradient boosting.</w:t>
            </w:r>
          </w:p>
        </w:tc>
        <w:tc>
          <w:tcPr>
            <w:tcW w:w="1296" w:type="dxa"/>
            <w:shd w:val="clear" w:color="auto" w:fill="F4F7FA"/>
            <w:tcMar>
              <w:top w:w="100" w:type="dxa"/>
              <w:left w:w="140" w:type="dxa"/>
              <w:bottom w:w="100" w:type="dxa"/>
              <w:right w:w="140" w:type="dxa"/>
            </w:tcMar>
          </w:tcPr>
          <w:p w14:paraId="1E70FFAE" w14:textId="77777777" w:rsidR="00722E74" w:rsidRDefault="00000000">
            <w:pPr>
              <w:spacing w:after="0" w:line="264" w:lineRule="auto"/>
            </w:pPr>
            <w:r>
              <w:rPr>
                <w:rFonts w:ascii="Calibri" w:hAnsi="Calibri"/>
                <w:color w:val="2C3E50"/>
                <w:sz w:val="19"/>
              </w:rPr>
              <w:t>Challenger (Rank 2)</w:t>
            </w:r>
          </w:p>
        </w:tc>
      </w:tr>
    </w:tbl>
    <w:p w14:paraId="51F7A46E" w14:textId="77777777" w:rsidR="00722E74" w:rsidRDefault="00722E74">
      <w:pPr>
        <w:spacing w:after="120"/>
      </w:pPr>
    </w:p>
    <w:p w14:paraId="246BF5CA" w14:textId="77777777" w:rsidR="00722E74" w:rsidRDefault="00000000">
      <w:pPr>
        <w:keepNext/>
        <w:spacing w:before="240" w:after="80"/>
      </w:pPr>
      <w:r>
        <w:rPr>
          <w:rFonts w:ascii="Segoe UI" w:hAnsi="Segoe UI"/>
          <w:b/>
          <w:color w:val="2E6B9E"/>
          <w:sz w:val="26"/>
        </w:rPr>
        <w:t>4.2 Justification for Champion Architecture: LightGBM / XGBoost Ensemble</w:t>
      </w:r>
    </w:p>
    <w:p w14:paraId="5CC11A73" w14:textId="77777777" w:rsidR="00722E74" w:rsidRDefault="00000000">
      <w:pPr>
        <w:spacing w:after="120"/>
      </w:pPr>
      <w:r>
        <w:rPr>
          <w:rFonts w:ascii="Calibri" w:hAnsi="Calibri"/>
          <w:color w:val="2C3E50"/>
          <w:sz w:val="21"/>
        </w:rPr>
        <w:t>Gradient Boosted Decision Trees (specifically LightGBM and CatBoost) consistently outperform deep neural networks on tabular datasets characterized by heterogeneous feature types, varying scales, and non-smooth decision boundaries. Their Histogram-based split finding (GOSS in LightGBM) provides extreme computational efficiency, native handling of missing values, and built-in L1/L2 leaf regularization.</w:t>
      </w:r>
    </w:p>
    <w:p w14:paraId="7720A655" w14:textId="77777777" w:rsidR="00722E74" w:rsidRDefault="00000000">
      <w:pPr>
        <w:spacing w:after="120"/>
      </w:pPr>
      <w:r>
        <w:rPr>
          <w:rFonts w:ascii="Calibri" w:hAnsi="Calibri"/>
          <w:color w:val="2C3E50"/>
          <w:sz w:val="21"/>
        </w:rPr>
        <w:t>The proposed plan implements a Stacking Ensemble combining a tuned LightGBM, a tuned CatBoost, and a tuned XGBoost model, with a calibrated Logistic Regression meta-learner for final probability consensus.</w:t>
      </w:r>
    </w:p>
    <w:p w14:paraId="3A9A150C" w14:textId="77777777" w:rsidR="00722E74" w:rsidRDefault="00000000">
      <w:pPr>
        <w:keepNext/>
        <w:spacing w:before="240" w:after="80"/>
      </w:pPr>
      <w:r>
        <w:rPr>
          <w:rFonts w:ascii="Segoe UI" w:hAnsi="Segoe UI"/>
          <w:b/>
          <w:color w:val="2E6B9E"/>
          <w:sz w:val="26"/>
        </w:rPr>
        <w:t>4.3 Hyperparameter Optimization (HPO) Strategy</w:t>
      </w:r>
    </w:p>
    <w:p w14:paraId="4426451A" w14:textId="77777777" w:rsidR="00722E74" w:rsidRDefault="00000000">
      <w:pPr>
        <w:spacing w:after="120"/>
      </w:pPr>
      <w:r>
        <w:rPr>
          <w:rFonts w:ascii="Calibri" w:hAnsi="Calibri"/>
          <w:color w:val="2C3E50"/>
          <w:sz w:val="21"/>
        </w:rPr>
        <w:t>Traditional Grid Search suffers from exponential combinatorial explosion (curse of dimensionality), while Random Search lacks direction. The development plan utilizes Bayesian Optimization via Optuna:</w:t>
      </w:r>
    </w:p>
    <w:p w14:paraId="0B35C4D3" w14:textId="77777777" w:rsidR="00722E74" w:rsidRDefault="00000000">
      <w:pPr>
        <w:pStyle w:val="ListBullet"/>
        <w:spacing w:after="60"/>
      </w:pPr>
      <w:r>
        <w:rPr>
          <w:rFonts w:ascii="Calibri" w:hAnsi="Calibri"/>
          <w:b/>
          <w:color w:val="1B365D"/>
          <w:sz w:val="21"/>
        </w:rPr>
        <w:t xml:space="preserve">Tree-structured Parzen Estimator (TPE): </w:t>
      </w:r>
      <w:r>
        <w:rPr>
          <w:rFonts w:ascii="Calibri" w:hAnsi="Calibri"/>
          <w:color w:val="2C3E50"/>
          <w:sz w:val="21"/>
        </w:rPr>
        <w:t>Models hyperparameter probability distributions p(score | params) and iteratively selects candidate parameters maximizing the Expected Improvement (EI).</w:t>
      </w:r>
    </w:p>
    <w:p w14:paraId="28CC85FB" w14:textId="77777777" w:rsidR="00722E74" w:rsidRDefault="00000000">
      <w:pPr>
        <w:pStyle w:val="ListBullet"/>
        <w:spacing w:after="60"/>
      </w:pPr>
      <w:r>
        <w:rPr>
          <w:rFonts w:ascii="Calibri" w:hAnsi="Calibri"/>
          <w:b/>
          <w:color w:val="1B365D"/>
          <w:sz w:val="21"/>
        </w:rPr>
        <w:t xml:space="preserve">Asynchronous Trial Pruning: </w:t>
      </w:r>
      <w:r>
        <w:rPr>
          <w:rFonts w:ascii="Calibri" w:hAnsi="Calibri"/>
          <w:color w:val="2C3E50"/>
          <w:sz w:val="21"/>
        </w:rPr>
        <w:t>Optuna's MedianPruner and Hyperband prune unpromising trials at early boosting iterations, achieving 5x faster search convergence.</w:t>
      </w:r>
    </w:p>
    <w:p w14:paraId="493CB1EB" w14:textId="77777777" w:rsidR="00722E74" w:rsidRDefault="00000000">
      <w:pPr>
        <w:pStyle w:val="ListBullet"/>
        <w:spacing w:after="60"/>
      </w:pPr>
      <w:r>
        <w:rPr>
          <w:rFonts w:ascii="Calibri" w:hAnsi="Calibri"/>
          <w:b/>
          <w:color w:val="1B365D"/>
          <w:sz w:val="21"/>
        </w:rPr>
        <w:t xml:space="preserve">Search Objective: </w:t>
      </w:r>
      <w:r>
        <w:rPr>
          <w:rFonts w:ascii="Calibri" w:hAnsi="Calibri"/>
          <w:color w:val="2C3E50"/>
          <w:sz w:val="21"/>
        </w:rPr>
        <w:t>Optuna optimizes directly for Out-Of-Fold PR-AUC under 5-Fold Stratified Cross-Validation across 150 optimization trials.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592"/>
        <w:gridCol w:w="2880"/>
        <w:gridCol w:w="3888"/>
      </w:tblGrid>
      <w:tr w:rsidR="00722E74" w14:paraId="4FD5D7D1" w14:textId="77777777">
        <w:trPr>
          <w:jc w:val="center"/>
        </w:trPr>
        <w:tc>
          <w:tcPr>
            <w:tcW w:w="2592" w:type="dxa"/>
            <w:shd w:val="clear" w:color="auto" w:fill="1B365D"/>
            <w:tcMar>
              <w:top w:w="120" w:type="dxa"/>
              <w:left w:w="140" w:type="dxa"/>
              <w:bottom w:w="120" w:type="dxa"/>
              <w:right w:w="140" w:type="dxa"/>
            </w:tcMar>
          </w:tcPr>
          <w:p w14:paraId="38826601" w14:textId="77777777" w:rsidR="00722E74" w:rsidRDefault="00000000">
            <w:pPr>
              <w:spacing w:after="0"/>
            </w:pPr>
            <w:r>
              <w:rPr>
                <w:rFonts w:ascii="Segoe UI" w:hAnsi="Segoe UI"/>
                <w:b/>
                <w:color w:val="FFFFFF"/>
                <w:sz w:val="19"/>
              </w:rPr>
              <w:t>Hyperparameter</w:t>
            </w:r>
          </w:p>
        </w:tc>
        <w:tc>
          <w:tcPr>
            <w:tcW w:w="2880" w:type="dxa"/>
            <w:shd w:val="clear" w:color="auto" w:fill="1B365D"/>
            <w:tcMar>
              <w:top w:w="120" w:type="dxa"/>
              <w:left w:w="140" w:type="dxa"/>
              <w:bottom w:w="120" w:type="dxa"/>
              <w:right w:w="140" w:type="dxa"/>
            </w:tcMar>
          </w:tcPr>
          <w:p w14:paraId="7D9001D6" w14:textId="77777777" w:rsidR="00722E74" w:rsidRDefault="00000000">
            <w:pPr>
              <w:spacing w:after="0"/>
            </w:pPr>
            <w:r>
              <w:rPr>
                <w:rFonts w:ascii="Segoe UI" w:hAnsi="Segoe UI"/>
                <w:b/>
                <w:color w:val="FFFFFF"/>
                <w:sz w:val="19"/>
              </w:rPr>
              <w:t>Search Range / Distribution</w:t>
            </w:r>
          </w:p>
        </w:tc>
        <w:tc>
          <w:tcPr>
            <w:tcW w:w="3888" w:type="dxa"/>
            <w:shd w:val="clear" w:color="auto" w:fill="1B365D"/>
            <w:tcMar>
              <w:top w:w="120" w:type="dxa"/>
              <w:left w:w="140" w:type="dxa"/>
              <w:bottom w:w="120" w:type="dxa"/>
              <w:right w:w="140" w:type="dxa"/>
            </w:tcMar>
          </w:tcPr>
          <w:p w14:paraId="18A367E7" w14:textId="77777777" w:rsidR="00722E74" w:rsidRDefault="00000000">
            <w:pPr>
              <w:spacing w:after="0"/>
            </w:pPr>
            <w:r>
              <w:rPr>
                <w:rFonts w:ascii="Segoe UI" w:hAnsi="Segoe UI"/>
                <w:b/>
                <w:color w:val="FFFFFF"/>
                <w:sz w:val="19"/>
              </w:rPr>
              <w:t>Optimization Purpose</w:t>
            </w:r>
          </w:p>
        </w:tc>
      </w:tr>
      <w:tr w:rsidR="00722E74" w14:paraId="7DB3A935" w14:textId="77777777">
        <w:trPr>
          <w:jc w:val="center"/>
        </w:trPr>
        <w:tc>
          <w:tcPr>
            <w:tcW w:w="2592" w:type="dxa"/>
            <w:shd w:val="clear" w:color="auto" w:fill="FFFFFF"/>
            <w:tcMar>
              <w:top w:w="100" w:type="dxa"/>
              <w:left w:w="140" w:type="dxa"/>
              <w:bottom w:w="100" w:type="dxa"/>
              <w:right w:w="140" w:type="dxa"/>
            </w:tcMar>
          </w:tcPr>
          <w:p w14:paraId="59C55107" w14:textId="77777777" w:rsidR="00722E74" w:rsidRDefault="00000000">
            <w:pPr>
              <w:spacing w:after="0" w:line="264" w:lineRule="auto"/>
            </w:pPr>
            <w:r>
              <w:rPr>
                <w:rFonts w:ascii="Calibri" w:hAnsi="Calibri"/>
                <w:color w:val="2C3E50"/>
                <w:sz w:val="19"/>
              </w:rPr>
              <w:t>learning_rate (eta)</w:t>
            </w:r>
          </w:p>
        </w:tc>
        <w:tc>
          <w:tcPr>
            <w:tcW w:w="2880" w:type="dxa"/>
            <w:shd w:val="clear" w:color="auto" w:fill="FFFFFF"/>
            <w:tcMar>
              <w:top w:w="100" w:type="dxa"/>
              <w:left w:w="140" w:type="dxa"/>
              <w:bottom w:w="100" w:type="dxa"/>
              <w:right w:w="140" w:type="dxa"/>
            </w:tcMar>
          </w:tcPr>
          <w:p w14:paraId="01C26D29" w14:textId="77777777" w:rsidR="00722E74" w:rsidRDefault="00000000">
            <w:pPr>
              <w:spacing w:after="0" w:line="264" w:lineRule="auto"/>
            </w:pPr>
            <w:r>
              <w:rPr>
                <w:rFonts w:ascii="Calibri" w:hAnsi="Calibri"/>
                <w:color w:val="2C3E50"/>
                <w:sz w:val="19"/>
              </w:rPr>
              <w:t>Log-Uniform [0.005, 0.20]</w:t>
            </w:r>
          </w:p>
        </w:tc>
        <w:tc>
          <w:tcPr>
            <w:tcW w:w="3888" w:type="dxa"/>
            <w:shd w:val="clear" w:color="auto" w:fill="FFFFFF"/>
            <w:tcMar>
              <w:top w:w="100" w:type="dxa"/>
              <w:left w:w="140" w:type="dxa"/>
              <w:bottom w:w="100" w:type="dxa"/>
              <w:right w:w="140" w:type="dxa"/>
            </w:tcMar>
          </w:tcPr>
          <w:p w14:paraId="1AE27BCA" w14:textId="77777777" w:rsidR="00722E74" w:rsidRDefault="00000000">
            <w:pPr>
              <w:spacing w:after="0" w:line="264" w:lineRule="auto"/>
            </w:pPr>
            <w:r>
              <w:rPr>
                <w:rFonts w:ascii="Calibri" w:hAnsi="Calibri"/>
                <w:color w:val="2C3E50"/>
                <w:sz w:val="19"/>
              </w:rPr>
              <w:t>Controls step size shrinkage; smaller rates with early stopping prevent overshooting.</w:t>
            </w:r>
          </w:p>
        </w:tc>
      </w:tr>
      <w:tr w:rsidR="00722E74" w14:paraId="6C267A08" w14:textId="77777777">
        <w:trPr>
          <w:jc w:val="center"/>
        </w:trPr>
        <w:tc>
          <w:tcPr>
            <w:tcW w:w="2592" w:type="dxa"/>
            <w:shd w:val="clear" w:color="auto" w:fill="F4F7FA"/>
            <w:tcMar>
              <w:top w:w="100" w:type="dxa"/>
              <w:left w:w="140" w:type="dxa"/>
              <w:bottom w:w="100" w:type="dxa"/>
              <w:right w:w="140" w:type="dxa"/>
            </w:tcMar>
          </w:tcPr>
          <w:p w14:paraId="706F4944" w14:textId="77777777" w:rsidR="00722E74" w:rsidRDefault="00000000">
            <w:pPr>
              <w:spacing w:after="0" w:line="264" w:lineRule="auto"/>
            </w:pPr>
            <w:r>
              <w:rPr>
                <w:rFonts w:ascii="Calibri" w:hAnsi="Calibri"/>
                <w:color w:val="2C3E50"/>
                <w:sz w:val="19"/>
              </w:rPr>
              <w:t>num_leaves / max_depth</w:t>
            </w:r>
          </w:p>
        </w:tc>
        <w:tc>
          <w:tcPr>
            <w:tcW w:w="2880" w:type="dxa"/>
            <w:shd w:val="clear" w:color="auto" w:fill="F4F7FA"/>
            <w:tcMar>
              <w:top w:w="100" w:type="dxa"/>
              <w:left w:w="140" w:type="dxa"/>
              <w:bottom w:w="100" w:type="dxa"/>
              <w:right w:w="140" w:type="dxa"/>
            </w:tcMar>
          </w:tcPr>
          <w:p w14:paraId="785AAF02" w14:textId="77777777" w:rsidR="00722E74" w:rsidRDefault="00000000">
            <w:pPr>
              <w:spacing w:after="0" w:line="264" w:lineRule="auto"/>
            </w:pPr>
            <w:r>
              <w:rPr>
                <w:rFonts w:ascii="Calibri" w:hAnsi="Calibri"/>
                <w:color w:val="2C3E50"/>
                <w:sz w:val="19"/>
              </w:rPr>
              <w:t>Integer [15, 127] / [3, 10]</w:t>
            </w:r>
          </w:p>
        </w:tc>
        <w:tc>
          <w:tcPr>
            <w:tcW w:w="3888" w:type="dxa"/>
            <w:shd w:val="clear" w:color="auto" w:fill="F4F7FA"/>
            <w:tcMar>
              <w:top w:w="100" w:type="dxa"/>
              <w:left w:w="140" w:type="dxa"/>
              <w:bottom w:w="100" w:type="dxa"/>
              <w:right w:w="140" w:type="dxa"/>
            </w:tcMar>
          </w:tcPr>
          <w:p w14:paraId="49F8E2ED" w14:textId="77777777" w:rsidR="00722E74" w:rsidRDefault="00000000">
            <w:pPr>
              <w:spacing w:after="0" w:line="264" w:lineRule="auto"/>
            </w:pPr>
            <w:r>
              <w:rPr>
                <w:rFonts w:ascii="Calibri" w:hAnsi="Calibri"/>
                <w:color w:val="2C3E50"/>
                <w:sz w:val="19"/>
              </w:rPr>
              <w:t>Governs tree complexity and structural capacity.</w:t>
            </w:r>
          </w:p>
        </w:tc>
      </w:tr>
      <w:tr w:rsidR="00722E74" w14:paraId="72222BBF" w14:textId="77777777">
        <w:trPr>
          <w:jc w:val="center"/>
        </w:trPr>
        <w:tc>
          <w:tcPr>
            <w:tcW w:w="2592" w:type="dxa"/>
            <w:shd w:val="clear" w:color="auto" w:fill="FFFFFF"/>
            <w:tcMar>
              <w:top w:w="100" w:type="dxa"/>
              <w:left w:w="140" w:type="dxa"/>
              <w:bottom w:w="100" w:type="dxa"/>
              <w:right w:w="140" w:type="dxa"/>
            </w:tcMar>
          </w:tcPr>
          <w:p w14:paraId="1B24803E" w14:textId="77777777" w:rsidR="00722E74" w:rsidRDefault="00000000">
            <w:pPr>
              <w:spacing w:after="0" w:line="264" w:lineRule="auto"/>
            </w:pPr>
            <w:r>
              <w:rPr>
                <w:rFonts w:ascii="Calibri" w:hAnsi="Calibri"/>
                <w:color w:val="2C3E50"/>
                <w:sz w:val="19"/>
              </w:rPr>
              <w:t>min_child_samples</w:t>
            </w:r>
          </w:p>
        </w:tc>
        <w:tc>
          <w:tcPr>
            <w:tcW w:w="2880" w:type="dxa"/>
            <w:shd w:val="clear" w:color="auto" w:fill="FFFFFF"/>
            <w:tcMar>
              <w:top w:w="100" w:type="dxa"/>
              <w:left w:w="140" w:type="dxa"/>
              <w:bottom w:w="100" w:type="dxa"/>
              <w:right w:w="140" w:type="dxa"/>
            </w:tcMar>
          </w:tcPr>
          <w:p w14:paraId="62587D66" w14:textId="77777777" w:rsidR="00722E74" w:rsidRDefault="00000000">
            <w:pPr>
              <w:spacing w:after="0" w:line="264" w:lineRule="auto"/>
            </w:pPr>
            <w:r>
              <w:rPr>
                <w:rFonts w:ascii="Calibri" w:hAnsi="Calibri"/>
                <w:color w:val="2C3E50"/>
                <w:sz w:val="19"/>
              </w:rPr>
              <w:t>Integer [10, 100]</w:t>
            </w:r>
          </w:p>
        </w:tc>
        <w:tc>
          <w:tcPr>
            <w:tcW w:w="3888" w:type="dxa"/>
            <w:shd w:val="clear" w:color="auto" w:fill="FFFFFF"/>
            <w:tcMar>
              <w:top w:w="100" w:type="dxa"/>
              <w:left w:w="140" w:type="dxa"/>
              <w:bottom w:w="100" w:type="dxa"/>
              <w:right w:w="140" w:type="dxa"/>
            </w:tcMar>
          </w:tcPr>
          <w:p w14:paraId="77CF98B4" w14:textId="77777777" w:rsidR="00722E74" w:rsidRDefault="00000000">
            <w:pPr>
              <w:spacing w:after="0" w:line="264" w:lineRule="auto"/>
            </w:pPr>
            <w:r>
              <w:rPr>
                <w:rFonts w:ascii="Calibri" w:hAnsi="Calibri"/>
                <w:color w:val="2C3E50"/>
                <w:sz w:val="19"/>
              </w:rPr>
              <w:t>Prevents leaf nodes from isolating tiny noise clusters (overfitting control).</w:t>
            </w:r>
          </w:p>
        </w:tc>
      </w:tr>
      <w:tr w:rsidR="00722E74" w14:paraId="3BC40F1B" w14:textId="77777777">
        <w:trPr>
          <w:jc w:val="center"/>
        </w:trPr>
        <w:tc>
          <w:tcPr>
            <w:tcW w:w="2592" w:type="dxa"/>
            <w:shd w:val="clear" w:color="auto" w:fill="F4F7FA"/>
            <w:tcMar>
              <w:top w:w="100" w:type="dxa"/>
              <w:left w:w="140" w:type="dxa"/>
              <w:bottom w:w="100" w:type="dxa"/>
              <w:right w:w="140" w:type="dxa"/>
            </w:tcMar>
          </w:tcPr>
          <w:p w14:paraId="23F5300E" w14:textId="77777777" w:rsidR="00722E74" w:rsidRDefault="00000000">
            <w:pPr>
              <w:spacing w:after="0" w:line="264" w:lineRule="auto"/>
            </w:pPr>
            <w:r>
              <w:rPr>
                <w:rFonts w:ascii="Calibri" w:hAnsi="Calibri"/>
                <w:color w:val="2C3E50"/>
                <w:sz w:val="19"/>
              </w:rPr>
              <w:t>subsample / colsample_bytree</w:t>
            </w:r>
          </w:p>
        </w:tc>
        <w:tc>
          <w:tcPr>
            <w:tcW w:w="2880" w:type="dxa"/>
            <w:shd w:val="clear" w:color="auto" w:fill="F4F7FA"/>
            <w:tcMar>
              <w:top w:w="100" w:type="dxa"/>
              <w:left w:w="140" w:type="dxa"/>
              <w:bottom w:w="100" w:type="dxa"/>
              <w:right w:w="140" w:type="dxa"/>
            </w:tcMar>
          </w:tcPr>
          <w:p w14:paraId="104151B2" w14:textId="77777777" w:rsidR="00722E74" w:rsidRDefault="00000000">
            <w:pPr>
              <w:spacing w:after="0" w:line="264" w:lineRule="auto"/>
            </w:pPr>
            <w:r>
              <w:rPr>
                <w:rFonts w:ascii="Calibri" w:hAnsi="Calibri"/>
                <w:color w:val="2C3E50"/>
                <w:sz w:val="19"/>
              </w:rPr>
              <w:t>Uniform [0.50, 0.95]</w:t>
            </w:r>
          </w:p>
        </w:tc>
        <w:tc>
          <w:tcPr>
            <w:tcW w:w="3888" w:type="dxa"/>
            <w:shd w:val="clear" w:color="auto" w:fill="F4F7FA"/>
            <w:tcMar>
              <w:top w:w="100" w:type="dxa"/>
              <w:left w:w="140" w:type="dxa"/>
              <w:bottom w:w="100" w:type="dxa"/>
              <w:right w:w="140" w:type="dxa"/>
            </w:tcMar>
          </w:tcPr>
          <w:p w14:paraId="34E7CD84" w14:textId="77777777" w:rsidR="00722E74" w:rsidRDefault="00000000">
            <w:pPr>
              <w:spacing w:after="0" w:line="264" w:lineRule="auto"/>
            </w:pPr>
            <w:r>
              <w:rPr>
                <w:rFonts w:ascii="Calibri" w:hAnsi="Calibri"/>
                <w:color w:val="2C3E50"/>
                <w:sz w:val="19"/>
              </w:rPr>
              <w:t>Stochastic row/column subsampling to inject bagging diversity.</w:t>
            </w:r>
          </w:p>
        </w:tc>
      </w:tr>
      <w:tr w:rsidR="00722E74" w14:paraId="0F157DBD" w14:textId="77777777">
        <w:trPr>
          <w:jc w:val="center"/>
        </w:trPr>
        <w:tc>
          <w:tcPr>
            <w:tcW w:w="2592" w:type="dxa"/>
            <w:shd w:val="clear" w:color="auto" w:fill="FFFFFF"/>
            <w:tcMar>
              <w:top w:w="100" w:type="dxa"/>
              <w:left w:w="140" w:type="dxa"/>
              <w:bottom w:w="100" w:type="dxa"/>
              <w:right w:w="140" w:type="dxa"/>
            </w:tcMar>
          </w:tcPr>
          <w:p w14:paraId="6B844397" w14:textId="77777777" w:rsidR="00722E74" w:rsidRDefault="00000000">
            <w:pPr>
              <w:spacing w:after="0" w:line="264" w:lineRule="auto"/>
            </w:pPr>
            <w:r>
              <w:rPr>
                <w:rFonts w:ascii="Calibri" w:hAnsi="Calibri"/>
                <w:color w:val="2C3E50"/>
                <w:sz w:val="19"/>
              </w:rPr>
              <w:t>reg_alpha (L1) &amp; reg_lambda (L2)</w:t>
            </w:r>
          </w:p>
        </w:tc>
        <w:tc>
          <w:tcPr>
            <w:tcW w:w="2880" w:type="dxa"/>
            <w:shd w:val="clear" w:color="auto" w:fill="FFFFFF"/>
            <w:tcMar>
              <w:top w:w="100" w:type="dxa"/>
              <w:left w:w="140" w:type="dxa"/>
              <w:bottom w:w="100" w:type="dxa"/>
              <w:right w:w="140" w:type="dxa"/>
            </w:tcMar>
          </w:tcPr>
          <w:p w14:paraId="4C21EE51" w14:textId="77777777" w:rsidR="00722E74" w:rsidRDefault="00000000">
            <w:pPr>
              <w:spacing w:after="0" w:line="264" w:lineRule="auto"/>
            </w:pPr>
            <w:r>
              <w:rPr>
                <w:rFonts w:ascii="Calibri" w:hAnsi="Calibri"/>
                <w:color w:val="2C3E50"/>
                <w:sz w:val="19"/>
              </w:rPr>
              <w:t>Log-Uniform [1e-3, 10.0]</w:t>
            </w:r>
          </w:p>
        </w:tc>
        <w:tc>
          <w:tcPr>
            <w:tcW w:w="3888" w:type="dxa"/>
            <w:shd w:val="clear" w:color="auto" w:fill="FFFFFF"/>
            <w:tcMar>
              <w:top w:w="100" w:type="dxa"/>
              <w:left w:w="140" w:type="dxa"/>
              <w:bottom w:w="100" w:type="dxa"/>
              <w:right w:w="140" w:type="dxa"/>
            </w:tcMar>
          </w:tcPr>
          <w:p w14:paraId="4CC07A02" w14:textId="77777777" w:rsidR="00722E74" w:rsidRDefault="00000000">
            <w:pPr>
              <w:spacing w:after="0" w:line="264" w:lineRule="auto"/>
            </w:pPr>
            <w:r>
              <w:rPr>
                <w:rFonts w:ascii="Calibri" w:hAnsi="Calibri"/>
                <w:color w:val="2C3E50"/>
                <w:sz w:val="19"/>
              </w:rPr>
              <w:t>Direct weight penalty enforcing feature sparsity and shrinkage.</w:t>
            </w:r>
          </w:p>
        </w:tc>
      </w:tr>
    </w:tbl>
    <w:p w14:paraId="46857B6D" w14:textId="77777777" w:rsidR="00722E74" w:rsidRDefault="00722E74">
      <w:pPr>
        <w:spacing w:after="120"/>
      </w:pPr>
    </w:p>
    <w:p w14:paraId="09DCCE2E" w14:textId="77777777" w:rsidR="00722E74" w:rsidRDefault="00000000">
      <w:pPr>
        <w:keepNext/>
        <w:spacing w:before="320" w:after="120"/>
      </w:pPr>
      <w:r>
        <w:rPr>
          <w:rFonts w:ascii="Segoe UI" w:hAnsi="Segoe UI"/>
          <w:b/>
          <w:color w:val="1B365D"/>
          <w:sz w:val="32"/>
        </w:rPr>
        <w:t>5. Robust Validation Strategies &amp; Performance Evaluation</w:t>
      </w:r>
    </w:p>
    <w:p w14:paraId="76DE7C6C" w14:textId="77777777" w:rsidR="00722E74" w:rsidRDefault="00000000">
      <w:pPr>
        <w:spacing w:after="120"/>
      </w:pPr>
      <w:r>
        <w:rPr>
          <w:rFonts w:ascii="Calibri" w:hAnsi="Calibri"/>
          <w:color w:val="2C3E50"/>
          <w:sz w:val="21"/>
        </w:rPr>
        <w:t>To ensure that model evaluation reflects real-world generalization without data leakage or optimistic bias, the plan establishes a rigorous validation protocol.</w:t>
      </w:r>
    </w:p>
    <w:p w14:paraId="50582089" w14:textId="77777777" w:rsidR="00722E74" w:rsidRDefault="00000000">
      <w:pPr>
        <w:spacing w:before="160" w:after="80"/>
        <w:jc w:val="center"/>
      </w:pPr>
      <w:r>
        <w:rPr>
          <w:noProof/>
        </w:rPr>
        <w:drawing>
          <wp:inline distT="0" distB="0" distL="0" distR="0" wp14:anchorId="3D4DCC45" wp14:editId="6CA24004">
            <wp:extent cx="5760720" cy="2981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tuning_flow.png"/>
                    <pic:cNvPicPr/>
                  </pic:nvPicPr>
                  <pic:blipFill>
                    <a:blip r:embed="rId10"/>
                    <a:stretch>
                      <a:fillRect/>
                    </a:stretch>
                  </pic:blipFill>
                  <pic:spPr>
                    <a:xfrm>
                      <a:off x="0" y="0"/>
                      <a:ext cx="5760720" cy="2981425"/>
                    </a:xfrm>
                    <a:prstGeom prst="rect">
                      <a:avLst/>
                    </a:prstGeom>
                  </pic:spPr>
                </pic:pic>
              </a:graphicData>
            </a:graphic>
          </wp:inline>
        </w:drawing>
      </w:r>
    </w:p>
    <w:p w14:paraId="5FE517C9" w14:textId="77777777" w:rsidR="00722E74" w:rsidRDefault="00000000">
      <w:pPr>
        <w:jc w:val="center"/>
      </w:pPr>
      <w:r>
        <w:rPr>
          <w:rFonts w:ascii="Calibri" w:hAnsi="Calibri"/>
          <w:i/>
          <w:color w:val="646E78"/>
          <w:sz w:val="19"/>
        </w:rPr>
        <w:t>Figure: Nested Cross-Validation and Bayesian Optimization Workflow with Out-of-Time Test Holdout.</w:t>
      </w:r>
    </w:p>
    <w:p w14:paraId="72CE690F" w14:textId="77777777" w:rsidR="00722E74" w:rsidRDefault="00000000">
      <w:pPr>
        <w:keepNext/>
        <w:spacing w:before="240" w:after="80"/>
      </w:pPr>
      <w:r>
        <w:rPr>
          <w:rFonts w:ascii="Segoe UI" w:hAnsi="Segoe UI"/>
          <w:b/>
          <w:color w:val="2E6B9E"/>
          <w:sz w:val="26"/>
        </w:rPr>
        <w:t>5.1 Validation Schemes &amp; Leakage Prevention</w:t>
      </w:r>
    </w:p>
    <w:p w14:paraId="73A16BFE" w14:textId="77777777" w:rsidR="00722E74" w:rsidRDefault="00000000">
      <w:pPr>
        <w:pStyle w:val="ListBullet"/>
        <w:spacing w:after="60"/>
      </w:pPr>
      <w:r>
        <w:rPr>
          <w:rFonts w:ascii="Calibri" w:hAnsi="Calibri"/>
          <w:b/>
          <w:color w:val="1B365D"/>
          <w:sz w:val="21"/>
        </w:rPr>
        <w:t xml:space="preserve">1. Out-of-Time (Temporal) Holdout Partition: </w:t>
      </w:r>
      <w:r>
        <w:rPr>
          <w:rFonts w:ascii="Calibri" w:hAnsi="Calibri"/>
          <w:color w:val="2C3E50"/>
          <w:sz w:val="21"/>
        </w:rPr>
        <w:t>A full 20% holdout partition sampled strictly from the most recent calendar period (e.g., Q4 data) is isolated at project inception. This dataset is never exposed during preprocessing, feature selection, or hyperparameter optimization.</w:t>
      </w:r>
    </w:p>
    <w:p w14:paraId="12B8DFBE" w14:textId="77777777" w:rsidR="00722E74" w:rsidRDefault="00000000">
      <w:pPr>
        <w:pStyle w:val="ListBullet"/>
        <w:spacing w:after="60"/>
      </w:pPr>
      <w:r>
        <w:rPr>
          <w:rFonts w:ascii="Calibri" w:hAnsi="Calibri"/>
          <w:b/>
          <w:color w:val="1B365D"/>
          <w:sz w:val="21"/>
        </w:rPr>
        <w:t xml:space="preserve">2. 5-Fold Stratified Nested Cross-Validation: </w:t>
      </w:r>
      <w:r>
        <w:rPr>
          <w:rFonts w:ascii="Calibri" w:hAnsi="Calibri"/>
          <w:color w:val="2C3E50"/>
          <w:sz w:val="21"/>
        </w:rPr>
        <w:t>The remaining 80% development dataset is evaluated using 5-Fold Stratified Nested CV. The Outer Loop (5 folds) estimates unbiased generalization error, while the Inner Loop (3 folds) performs Optuna hyperparameter tuning.</w:t>
      </w:r>
    </w:p>
    <w:p w14:paraId="596C4839" w14:textId="77777777" w:rsidR="00722E74" w:rsidRDefault="00000000">
      <w:pPr>
        <w:pStyle w:val="ListBullet"/>
        <w:spacing w:after="60"/>
      </w:pPr>
      <w:r>
        <w:rPr>
          <w:rFonts w:ascii="Calibri" w:hAnsi="Calibri"/>
          <w:b/>
          <w:color w:val="1B365D"/>
          <w:sz w:val="21"/>
        </w:rPr>
        <w:t xml:space="preserve">3. Encapsulated Pipeline Isolation: </w:t>
      </w:r>
      <w:r>
        <w:rPr>
          <w:rFonts w:ascii="Calibri" w:hAnsi="Calibri"/>
          <w:color w:val="2C3E50"/>
          <w:sz w:val="21"/>
        </w:rPr>
        <w:t>All transformations (scalers, encoders, imputers, SMOTE) are fit strictly on the training folds and only applied (`transform`) to the validation folds within an encapsulated `imblearn.pipeline.Pipeline` object.</w:t>
      </w:r>
    </w:p>
    <w:p w14:paraId="2A1BA87F" w14:textId="77777777" w:rsidR="00722E74" w:rsidRDefault="00000000">
      <w:pPr>
        <w:keepNext/>
        <w:spacing w:before="240" w:after="80"/>
      </w:pPr>
      <w:r>
        <w:rPr>
          <w:rFonts w:ascii="Segoe UI" w:hAnsi="Segoe UI"/>
          <w:b/>
          <w:color w:val="2E6B9E"/>
          <w:sz w:val="26"/>
        </w:rPr>
        <w:t>5.2 Comprehensive Performance Evaluation Metrics</w:t>
      </w:r>
    </w:p>
    <w:p w14:paraId="021BD84C" w14:textId="77777777" w:rsidR="00722E74" w:rsidRDefault="00000000">
      <w:pPr>
        <w:spacing w:after="120"/>
      </w:pPr>
      <w:r>
        <w:rPr>
          <w:rFonts w:ascii="Calibri" w:hAnsi="Calibri"/>
          <w:color w:val="2C3E50"/>
          <w:sz w:val="21"/>
        </w:rPr>
        <w:t>In imbalanced churn prediction, standard Accuracy is deceptive (e.g., an 85% accurate model that predicts 0 churners is useless). A multi-dimensional metric framework is deployed:</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592"/>
        <w:gridCol w:w="2736"/>
        <w:gridCol w:w="4032"/>
      </w:tblGrid>
      <w:tr w:rsidR="00722E74" w14:paraId="27AD9D8C" w14:textId="77777777">
        <w:trPr>
          <w:jc w:val="center"/>
        </w:trPr>
        <w:tc>
          <w:tcPr>
            <w:tcW w:w="2592" w:type="dxa"/>
            <w:shd w:val="clear" w:color="auto" w:fill="1B365D"/>
            <w:tcMar>
              <w:top w:w="120" w:type="dxa"/>
              <w:left w:w="140" w:type="dxa"/>
              <w:bottom w:w="120" w:type="dxa"/>
              <w:right w:w="140" w:type="dxa"/>
            </w:tcMar>
          </w:tcPr>
          <w:p w14:paraId="01458C04" w14:textId="77777777" w:rsidR="00722E74" w:rsidRDefault="00000000">
            <w:pPr>
              <w:spacing w:after="0"/>
            </w:pPr>
            <w:r>
              <w:rPr>
                <w:rFonts w:ascii="Segoe UI" w:hAnsi="Segoe UI"/>
                <w:b/>
                <w:color w:val="FFFFFF"/>
                <w:sz w:val="19"/>
              </w:rPr>
              <w:t>Evaluation Metric</w:t>
            </w:r>
          </w:p>
        </w:tc>
        <w:tc>
          <w:tcPr>
            <w:tcW w:w="2736" w:type="dxa"/>
            <w:shd w:val="clear" w:color="auto" w:fill="1B365D"/>
            <w:tcMar>
              <w:top w:w="120" w:type="dxa"/>
              <w:left w:w="140" w:type="dxa"/>
              <w:bottom w:w="120" w:type="dxa"/>
              <w:right w:w="140" w:type="dxa"/>
            </w:tcMar>
          </w:tcPr>
          <w:p w14:paraId="641935F8" w14:textId="77777777" w:rsidR="00722E74" w:rsidRDefault="00000000">
            <w:pPr>
              <w:spacing w:after="0"/>
            </w:pPr>
            <w:r>
              <w:rPr>
                <w:rFonts w:ascii="Segoe UI" w:hAnsi="Segoe UI"/>
                <w:b/>
                <w:color w:val="FFFFFF"/>
                <w:sz w:val="19"/>
              </w:rPr>
              <w:t>Formula / Definition</w:t>
            </w:r>
          </w:p>
        </w:tc>
        <w:tc>
          <w:tcPr>
            <w:tcW w:w="4032" w:type="dxa"/>
            <w:shd w:val="clear" w:color="auto" w:fill="1B365D"/>
            <w:tcMar>
              <w:top w:w="120" w:type="dxa"/>
              <w:left w:w="140" w:type="dxa"/>
              <w:bottom w:w="120" w:type="dxa"/>
              <w:right w:w="140" w:type="dxa"/>
            </w:tcMar>
          </w:tcPr>
          <w:p w14:paraId="363844A1" w14:textId="77777777" w:rsidR="00722E74" w:rsidRDefault="00000000">
            <w:pPr>
              <w:spacing w:after="0"/>
            </w:pPr>
            <w:r>
              <w:rPr>
                <w:rFonts w:ascii="Segoe UI" w:hAnsi="Segoe UI"/>
                <w:b/>
                <w:color w:val="FFFFFF"/>
                <w:sz w:val="19"/>
              </w:rPr>
              <w:t>Primary Justification in Churn Context</w:t>
            </w:r>
          </w:p>
        </w:tc>
      </w:tr>
      <w:tr w:rsidR="00722E74" w14:paraId="6E06FA9E" w14:textId="77777777">
        <w:trPr>
          <w:jc w:val="center"/>
        </w:trPr>
        <w:tc>
          <w:tcPr>
            <w:tcW w:w="2592" w:type="dxa"/>
            <w:shd w:val="clear" w:color="auto" w:fill="FFFFFF"/>
            <w:tcMar>
              <w:top w:w="100" w:type="dxa"/>
              <w:left w:w="140" w:type="dxa"/>
              <w:bottom w:w="100" w:type="dxa"/>
              <w:right w:w="140" w:type="dxa"/>
            </w:tcMar>
          </w:tcPr>
          <w:p w14:paraId="4A81BB28" w14:textId="77777777" w:rsidR="00722E74" w:rsidRDefault="00000000">
            <w:pPr>
              <w:spacing w:after="0" w:line="264" w:lineRule="auto"/>
            </w:pPr>
            <w:r>
              <w:rPr>
                <w:rFonts w:ascii="Calibri" w:hAnsi="Calibri"/>
                <w:color w:val="2C3E50"/>
                <w:sz w:val="19"/>
              </w:rPr>
              <w:t>Precision-Recall AUC (PR-AUC)</w:t>
            </w:r>
          </w:p>
        </w:tc>
        <w:tc>
          <w:tcPr>
            <w:tcW w:w="2736" w:type="dxa"/>
            <w:shd w:val="clear" w:color="auto" w:fill="FFFFFF"/>
            <w:tcMar>
              <w:top w:w="100" w:type="dxa"/>
              <w:left w:w="140" w:type="dxa"/>
              <w:bottom w:w="100" w:type="dxa"/>
              <w:right w:w="140" w:type="dxa"/>
            </w:tcMar>
          </w:tcPr>
          <w:p w14:paraId="6DF5C951" w14:textId="77777777" w:rsidR="00722E74" w:rsidRDefault="00000000">
            <w:pPr>
              <w:spacing w:after="0" w:line="264" w:lineRule="auto"/>
            </w:pPr>
            <w:r>
              <w:rPr>
                <w:rFonts w:ascii="Calibri" w:hAnsi="Calibri"/>
                <w:color w:val="2C3E50"/>
                <w:sz w:val="19"/>
              </w:rPr>
              <w:t>Area under Precision vs. Recall curve</w:t>
            </w:r>
          </w:p>
        </w:tc>
        <w:tc>
          <w:tcPr>
            <w:tcW w:w="4032" w:type="dxa"/>
            <w:shd w:val="clear" w:color="auto" w:fill="FFFFFF"/>
            <w:tcMar>
              <w:top w:w="100" w:type="dxa"/>
              <w:left w:w="140" w:type="dxa"/>
              <w:bottom w:w="100" w:type="dxa"/>
              <w:right w:w="140" w:type="dxa"/>
            </w:tcMar>
          </w:tcPr>
          <w:p w14:paraId="093915D3" w14:textId="77777777" w:rsidR="00722E74" w:rsidRDefault="00000000">
            <w:pPr>
              <w:spacing w:after="0" w:line="264" w:lineRule="auto"/>
            </w:pPr>
            <w:r>
              <w:rPr>
                <w:rFonts w:ascii="Calibri" w:hAnsi="Calibri"/>
                <w:color w:val="2C3E50"/>
                <w:sz w:val="19"/>
              </w:rPr>
              <w:t>Focuses strictly on minority churn class performance without being skewed by large true negative counts.</w:t>
            </w:r>
          </w:p>
        </w:tc>
      </w:tr>
      <w:tr w:rsidR="00722E74" w14:paraId="3FD40878" w14:textId="77777777">
        <w:trPr>
          <w:jc w:val="center"/>
        </w:trPr>
        <w:tc>
          <w:tcPr>
            <w:tcW w:w="2592" w:type="dxa"/>
            <w:shd w:val="clear" w:color="auto" w:fill="F4F7FA"/>
            <w:tcMar>
              <w:top w:w="100" w:type="dxa"/>
              <w:left w:w="140" w:type="dxa"/>
              <w:bottom w:w="100" w:type="dxa"/>
              <w:right w:w="140" w:type="dxa"/>
            </w:tcMar>
          </w:tcPr>
          <w:p w14:paraId="1CC97DBB" w14:textId="77777777" w:rsidR="00722E74" w:rsidRDefault="00000000">
            <w:pPr>
              <w:spacing w:after="0" w:line="264" w:lineRule="auto"/>
            </w:pPr>
            <w:r>
              <w:rPr>
                <w:rFonts w:ascii="Calibri" w:hAnsi="Calibri"/>
                <w:color w:val="2C3E50"/>
                <w:sz w:val="19"/>
              </w:rPr>
              <w:t>Recall (Sensitivity)</w:t>
            </w:r>
          </w:p>
        </w:tc>
        <w:tc>
          <w:tcPr>
            <w:tcW w:w="2736" w:type="dxa"/>
            <w:shd w:val="clear" w:color="auto" w:fill="F4F7FA"/>
            <w:tcMar>
              <w:top w:w="100" w:type="dxa"/>
              <w:left w:w="140" w:type="dxa"/>
              <w:bottom w:w="100" w:type="dxa"/>
              <w:right w:w="140" w:type="dxa"/>
            </w:tcMar>
          </w:tcPr>
          <w:p w14:paraId="78E92BFF" w14:textId="77777777" w:rsidR="00722E74" w:rsidRDefault="00000000">
            <w:pPr>
              <w:spacing w:after="0" w:line="264" w:lineRule="auto"/>
            </w:pPr>
            <w:r>
              <w:rPr>
                <w:rFonts w:ascii="Calibri" w:hAnsi="Calibri"/>
                <w:color w:val="2C3E50"/>
                <w:sz w:val="19"/>
              </w:rPr>
              <w:t>TP / (TP + FN)</w:t>
            </w:r>
          </w:p>
        </w:tc>
        <w:tc>
          <w:tcPr>
            <w:tcW w:w="4032" w:type="dxa"/>
            <w:shd w:val="clear" w:color="auto" w:fill="F4F7FA"/>
            <w:tcMar>
              <w:top w:w="100" w:type="dxa"/>
              <w:left w:w="140" w:type="dxa"/>
              <w:bottom w:w="100" w:type="dxa"/>
              <w:right w:w="140" w:type="dxa"/>
            </w:tcMar>
          </w:tcPr>
          <w:p w14:paraId="2449D744" w14:textId="77777777" w:rsidR="00722E74" w:rsidRDefault="00000000">
            <w:pPr>
              <w:spacing w:after="0" w:line="264" w:lineRule="auto"/>
            </w:pPr>
            <w:r>
              <w:rPr>
                <w:rFonts w:ascii="Calibri" w:hAnsi="Calibri"/>
                <w:color w:val="2C3E50"/>
                <w:sz w:val="19"/>
              </w:rPr>
              <w:t>Measures fraction of actual churners successfully identified. Crucial because undetected churners (FN) represent lost revenue.</w:t>
            </w:r>
          </w:p>
        </w:tc>
      </w:tr>
      <w:tr w:rsidR="00722E74" w14:paraId="0ABB7703" w14:textId="77777777">
        <w:trPr>
          <w:jc w:val="center"/>
        </w:trPr>
        <w:tc>
          <w:tcPr>
            <w:tcW w:w="2592" w:type="dxa"/>
            <w:shd w:val="clear" w:color="auto" w:fill="FFFFFF"/>
            <w:tcMar>
              <w:top w:w="100" w:type="dxa"/>
              <w:left w:w="140" w:type="dxa"/>
              <w:bottom w:w="100" w:type="dxa"/>
              <w:right w:w="140" w:type="dxa"/>
            </w:tcMar>
          </w:tcPr>
          <w:p w14:paraId="4455C959" w14:textId="77777777" w:rsidR="00722E74" w:rsidRDefault="00000000">
            <w:pPr>
              <w:spacing w:after="0" w:line="264" w:lineRule="auto"/>
            </w:pPr>
            <w:r>
              <w:rPr>
                <w:rFonts w:ascii="Calibri" w:hAnsi="Calibri"/>
                <w:color w:val="2C3E50"/>
                <w:sz w:val="19"/>
              </w:rPr>
              <w:t>Precision (Positive Predictive Value)</w:t>
            </w:r>
          </w:p>
        </w:tc>
        <w:tc>
          <w:tcPr>
            <w:tcW w:w="2736" w:type="dxa"/>
            <w:shd w:val="clear" w:color="auto" w:fill="FFFFFF"/>
            <w:tcMar>
              <w:top w:w="100" w:type="dxa"/>
              <w:left w:w="140" w:type="dxa"/>
              <w:bottom w:w="100" w:type="dxa"/>
              <w:right w:w="140" w:type="dxa"/>
            </w:tcMar>
          </w:tcPr>
          <w:p w14:paraId="2A1A286F" w14:textId="77777777" w:rsidR="00722E74" w:rsidRDefault="00000000">
            <w:pPr>
              <w:spacing w:after="0" w:line="264" w:lineRule="auto"/>
            </w:pPr>
            <w:r>
              <w:rPr>
                <w:rFonts w:ascii="Calibri" w:hAnsi="Calibri"/>
                <w:color w:val="2C3E50"/>
                <w:sz w:val="19"/>
              </w:rPr>
              <w:t>TP / (TP + FP)</w:t>
            </w:r>
          </w:p>
        </w:tc>
        <w:tc>
          <w:tcPr>
            <w:tcW w:w="4032" w:type="dxa"/>
            <w:shd w:val="clear" w:color="auto" w:fill="FFFFFF"/>
            <w:tcMar>
              <w:top w:w="100" w:type="dxa"/>
              <w:left w:w="140" w:type="dxa"/>
              <w:bottom w:w="100" w:type="dxa"/>
              <w:right w:w="140" w:type="dxa"/>
            </w:tcMar>
          </w:tcPr>
          <w:p w14:paraId="488E00A4" w14:textId="77777777" w:rsidR="00722E74" w:rsidRDefault="00000000">
            <w:pPr>
              <w:spacing w:after="0" w:line="264" w:lineRule="auto"/>
            </w:pPr>
            <w:r>
              <w:rPr>
                <w:rFonts w:ascii="Calibri" w:hAnsi="Calibri"/>
                <w:color w:val="2C3E50"/>
                <w:sz w:val="19"/>
              </w:rPr>
              <w:t>Measures accuracy of churn alerts. Prevents wasting retention resources and discounting loyal customers.</w:t>
            </w:r>
          </w:p>
        </w:tc>
      </w:tr>
      <w:tr w:rsidR="00722E74" w14:paraId="07AA5F4A" w14:textId="77777777">
        <w:trPr>
          <w:jc w:val="center"/>
        </w:trPr>
        <w:tc>
          <w:tcPr>
            <w:tcW w:w="2592" w:type="dxa"/>
            <w:shd w:val="clear" w:color="auto" w:fill="F4F7FA"/>
            <w:tcMar>
              <w:top w:w="100" w:type="dxa"/>
              <w:left w:w="140" w:type="dxa"/>
              <w:bottom w:w="100" w:type="dxa"/>
              <w:right w:w="140" w:type="dxa"/>
            </w:tcMar>
          </w:tcPr>
          <w:p w14:paraId="54D162FD" w14:textId="77777777" w:rsidR="00722E74" w:rsidRDefault="00000000">
            <w:pPr>
              <w:spacing w:after="0" w:line="264" w:lineRule="auto"/>
            </w:pPr>
            <w:r>
              <w:rPr>
                <w:rFonts w:ascii="Calibri" w:hAnsi="Calibri"/>
                <w:color w:val="2C3E50"/>
                <w:sz w:val="19"/>
              </w:rPr>
              <w:t>F_Beta Score (β = 2.0)</w:t>
            </w:r>
          </w:p>
        </w:tc>
        <w:tc>
          <w:tcPr>
            <w:tcW w:w="2736" w:type="dxa"/>
            <w:shd w:val="clear" w:color="auto" w:fill="F4F7FA"/>
            <w:tcMar>
              <w:top w:w="100" w:type="dxa"/>
              <w:left w:w="140" w:type="dxa"/>
              <w:bottom w:w="100" w:type="dxa"/>
              <w:right w:w="140" w:type="dxa"/>
            </w:tcMar>
          </w:tcPr>
          <w:p w14:paraId="7FCF66E3" w14:textId="77777777" w:rsidR="00722E74" w:rsidRDefault="00000000">
            <w:pPr>
              <w:spacing w:after="0" w:line="264" w:lineRule="auto"/>
            </w:pPr>
            <w:r>
              <w:rPr>
                <w:rFonts w:ascii="Calibri" w:hAnsi="Calibri"/>
                <w:color w:val="2C3E50"/>
                <w:sz w:val="19"/>
              </w:rPr>
              <w:t>(1 + β²)·(P·R) / (β²·P + R)</w:t>
            </w:r>
          </w:p>
        </w:tc>
        <w:tc>
          <w:tcPr>
            <w:tcW w:w="4032" w:type="dxa"/>
            <w:shd w:val="clear" w:color="auto" w:fill="F4F7FA"/>
            <w:tcMar>
              <w:top w:w="100" w:type="dxa"/>
              <w:left w:w="140" w:type="dxa"/>
              <w:bottom w:w="100" w:type="dxa"/>
              <w:right w:w="140" w:type="dxa"/>
            </w:tcMar>
          </w:tcPr>
          <w:p w14:paraId="52AB10A5" w14:textId="77777777" w:rsidR="00722E74" w:rsidRDefault="00000000">
            <w:pPr>
              <w:spacing w:after="0" w:line="264" w:lineRule="auto"/>
            </w:pPr>
            <w:r>
              <w:rPr>
                <w:rFonts w:ascii="Calibri" w:hAnsi="Calibri"/>
                <w:color w:val="2C3E50"/>
                <w:sz w:val="19"/>
              </w:rPr>
              <w:t>Weights Recall twice as heavily as Precision, reflecting the higher financial cost of lost customers relative to outreach cost.</w:t>
            </w:r>
          </w:p>
        </w:tc>
      </w:tr>
      <w:tr w:rsidR="00722E74" w14:paraId="7FE2C2D6" w14:textId="77777777">
        <w:trPr>
          <w:jc w:val="center"/>
        </w:trPr>
        <w:tc>
          <w:tcPr>
            <w:tcW w:w="2592" w:type="dxa"/>
            <w:shd w:val="clear" w:color="auto" w:fill="FFFFFF"/>
            <w:tcMar>
              <w:top w:w="100" w:type="dxa"/>
              <w:left w:w="140" w:type="dxa"/>
              <w:bottom w:w="100" w:type="dxa"/>
              <w:right w:w="140" w:type="dxa"/>
            </w:tcMar>
          </w:tcPr>
          <w:p w14:paraId="2E164917" w14:textId="77777777" w:rsidR="00722E74" w:rsidRDefault="00000000">
            <w:pPr>
              <w:spacing w:after="0" w:line="264" w:lineRule="auto"/>
            </w:pPr>
            <w:r>
              <w:rPr>
                <w:rFonts w:ascii="Calibri" w:hAnsi="Calibri"/>
                <w:color w:val="2C3E50"/>
                <w:sz w:val="19"/>
              </w:rPr>
              <w:t>ROC-AUC</w:t>
            </w:r>
          </w:p>
        </w:tc>
        <w:tc>
          <w:tcPr>
            <w:tcW w:w="2736" w:type="dxa"/>
            <w:shd w:val="clear" w:color="auto" w:fill="FFFFFF"/>
            <w:tcMar>
              <w:top w:w="100" w:type="dxa"/>
              <w:left w:w="140" w:type="dxa"/>
              <w:bottom w:w="100" w:type="dxa"/>
              <w:right w:w="140" w:type="dxa"/>
            </w:tcMar>
          </w:tcPr>
          <w:p w14:paraId="27FEBB78" w14:textId="77777777" w:rsidR="00722E74" w:rsidRDefault="00000000">
            <w:pPr>
              <w:spacing w:after="0" w:line="264" w:lineRule="auto"/>
            </w:pPr>
            <w:r>
              <w:rPr>
                <w:rFonts w:ascii="Calibri" w:hAnsi="Calibri"/>
                <w:color w:val="2C3E50"/>
                <w:sz w:val="19"/>
              </w:rPr>
              <w:t>Area under TPR vs. FPR curve</w:t>
            </w:r>
          </w:p>
        </w:tc>
        <w:tc>
          <w:tcPr>
            <w:tcW w:w="4032" w:type="dxa"/>
            <w:shd w:val="clear" w:color="auto" w:fill="FFFFFF"/>
            <w:tcMar>
              <w:top w:w="100" w:type="dxa"/>
              <w:left w:w="140" w:type="dxa"/>
              <w:bottom w:w="100" w:type="dxa"/>
              <w:right w:w="140" w:type="dxa"/>
            </w:tcMar>
          </w:tcPr>
          <w:p w14:paraId="726AA256" w14:textId="77777777" w:rsidR="00722E74" w:rsidRDefault="00000000">
            <w:pPr>
              <w:spacing w:after="0" w:line="264" w:lineRule="auto"/>
            </w:pPr>
            <w:r>
              <w:rPr>
                <w:rFonts w:ascii="Calibri" w:hAnsi="Calibri"/>
                <w:color w:val="2C3E50"/>
                <w:sz w:val="19"/>
              </w:rPr>
              <w:t>Measures overall ranking capability across all possible classification thresholds.</w:t>
            </w:r>
          </w:p>
        </w:tc>
      </w:tr>
      <w:tr w:rsidR="00722E74" w14:paraId="28B9236E" w14:textId="77777777">
        <w:trPr>
          <w:jc w:val="center"/>
        </w:trPr>
        <w:tc>
          <w:tcPr>
            <w:tcW w:w="2592" w:type="dxa"/>
            <w:shd w:val="clear" w:color="auto" w:fill="F4F7FA"/>
            <w:tcMar>
              <w:top w:w="100" w:type="dxa"/>
              <w:left w:w="140" w:type="dxa"/>
              <w:bottom w:w="100" w:type="dxa"/>
              <w:right w:w="140" w:type="dxa"/>
            </w:tcMar>
          </w:tcPr>
          <w:p w14:paraId="395986DA" w14:textId="77777777" w:rsidR="00722E74" w:rsidRDefault="00000000">
            <w:pPr>
              <w:spacing w:after="0" w:line="264" w:lineRule="auto"/>
            </w:pPr>
            <w:r>
              <w:rPr>
                <w:rFonts w:ascii="Calibri" w:hAnsi="Calibri"/>
                <w:color w:val="2C3E50"/>
                <w:sz w:val="19"/>
              </w:rPr>
              <w:t>Brier Score (Calibration Loss)</w:t>
            </w:r>
          </w:p>
        </w:tc>
        <w:tc>
          <w:tcPr>
            <w:tcW w:w="2736" w:type="dxa"/>
            <w:shd w:val="clear" w:color="auto" w:fill="F4F7FA"/>
            <w:tcMar>
              <w:top w:w="100" w:type="dxa"/>
              <w:left w:w="140" w:type="dxa"/>
              <w:bottom w:w="100" w:type="dxa"/>
              <w:right w:w="140" w:type="dxa"/>
            </w:tcMar>
          </w:tcPr>
          <w:p w14:paraId="3A971D75" w14:textId="77777777" w:rsidR="00722E74" w:rsidRDefault="00000000">
            <w:pPr>
              <w:spacing w:after="0" w:line="264" w:lineRule="auto"/>
            </w:pPr>
            <w:r>
              <w:rPr>
                <w:rFonts w:ascii="Calibri" w:hAnsi="Calibri"/>
                <w:color w:val="2C3E50"/>
                <w:sz w:val="19"/>
              </w:rPr>
              <w:t>(1/N) ∑ (p_i - y_i)²</w:t>
            </w:r>
          </w:p>
        </w:tc>
        <w:tc>
          <w:tcPr>
            <w:tcW w:w="4032" w:type="dxa"/>
            <w:shd w:val="clear" w:color="auto" w:fill="F4F7FA"/>
            <w:tcMar>
              <w:top w:w="100" w:type="dxa"/>
              <w:left w:w="140" w:type="dxa"/>
              <w:bottom w:w="100" w:type="dxa"/>
              <w:right w:w="140" w:type="dxa"/>
            </w:tcMar>
          </w:tcPr>
          <w:p w14:paraId="5251D730" w14:textId="77777777" w:rsidR="00722E74" w:rsidRDefault="00000000">
            <w:pPr>
              <w:spacing w:after="0" w:line="264" w:lineRule="auto"/>
            </w:pPr>
            <w:r>
              <w:rPr>
                <w:rFonts w:ascii="Calibri" w:hAnsi="Calibri"/>
                <w:color w:val="2C3E50"/>
                <w:sz w:val="19"/>
              </w:rPr>
              <w:t>Measures reliability of predicted probabilities. Critical for automated risk tiering.</w:t>
            </w:r>
          </w:p>
        </w:tc>
      </w:tr>
      <w:tr w:rsidR="00722E74" w14:paraId="766327A3" w14:textId="77777777">
        <w:trPr>
          <w:jc w:val="center"/>
        </w:trPr>
        <w:tc>
          <w:tcPr>
            <w:tcW w:w="2592" w:type="dxa"/>
            <w:shd w:val="clear" w:color="auto" w:fill="FFFFFF"/>
            <w:tcMar>
              <w:top w:w="100" w:type="dxa"/>
              <w:left w:w="140" w:type="dxa"/>
              <w:bottom w:w="100" w:type="dxa"/>
              <w:right w:w="140" w:type="dxa"/>
            </w:tcMar>
          </w:tcPr>
          <w:p w14:paraId="61910861" w14:textId="77777777" w:rsidR="00722E74" w:rsidRDefault="00000000">
            <w:pPr>
              <w:spacing w:after="0" w:line="264" w:lineRule="auto"/>
            </w:pPr>
            <w:r>
              <w:rPr>
                <w:rFonts w:ascii="Calibri" w:hAnsi="Calibri"/>
                <w:color w:val="2C3E50"/>
                <w:sz w:val="19"/>
              </w:rPr>
              <w:t>Cumulative Gains &amp; Lift @ 20%</w:t>
            </w:r>
          </w:p>
        </w:tc>
        <w:tc>
          <w:tcPr>
            <w:tcW w:w="2736" w:type="dxa"/>
            <w:shd w:val="clear" w:color="auto" w:fill="FFFFFF"/>
            <w:tcMar>
              <w:top w:w="100" w:type="dxa"/>
              <w:left w:w="140" w:type="dxa"/>
              <w:bottom w:w="100" w:type="dxa"/>
              <w:right w:w="140" w:type="dxa"/>
            </w:tcMar>
          </w:tcPr>
          <w:p w14:paraId="13FB4DC7" w14:textId="77777777" w:rsidR="00722E74" w:rsidRDefault="00000000">
            <w:pPr>
              <w:spacing w:after="0" w:line="264" w:lineRule="auto"/>
            </w:pPr>
            <w:r>
              <w:rPr>
                <w:rFonts w:ascii="Calibri" w:hAnsi="Calibri"/>
                <w:color w:val="2C3E50"/>
                <w:sz w:val="19"/>
              </w:rPr>
              <w:t>Lift = (Churn in Top 20% / Total Churn) / 0.20</w:t>
            </w:r>
          </w:p>
        </w:tc>
        <w:tc>
          <w:tcPr>
            <w:tcW w:w="4032" w:type="dxa"/>
            <w:shd w:val="clear" w:color="auto" w:fill="FFFFFF"/>
            <w:tcMar>
              <w:top w:w="100" w:type="dxa"/>
              <w:left w:w="140" w:type="dxa"/>
              <w:bottom w:w="100" w:type="dxa"/>
              <w:right w:w="140" w:type="dxa"/>
            </w:tcMar>
          </w:tcPr>
          <w:p w14:paraId="2AE38B49" w14:textId="77777777" w:rsidR="00722E74" w:rsidRDefault="00000000">
            <w:pPr>
              <w:spacing w:after="0" w:line="264" w:lineRule="auto"/>
            </w:pPr>
            <w:r>
              <w:rPr>
                <w:rFonts w:ascii="Calibri" w:hAnsi="Calibri"/>
                <w:color w:val="2C3E50"/>
                <w:sz w:val="19"/>
              </w:rPr>
              <w:t>Quantifies how much better the model performs compared to random customer outreach.</w:t>
            </w:r>
          </w:p>
        </w:tc>
      </w:tr>
    </w:tbl>
    <w:p w14:paraId="54F49A4A" w14:textId="77777777" w:rsidR="00722E74" w:rsidRDefault="00722E74">
      <w:pPr>
        <w:spacing w:after="120"/>
      </w:pPr>
    </w:p>
    <w:p w14:paraId="46CFEF4F" w14:textId="77777777" w:rsidR="00722E74" w:rsidRDefault="00000000">
      <w:pPr>
        <w:keepNext/>
        <w:spacing w:before="240" w:after="80"/>
      </w:pPr>
      <w:r>
        <w:rPr>
          <w:rFonts w:ascii="Segoe UI" w:hAnsi="Segoe UI"/>
          <w:b/>
          <w:color w:val="2E6B9E"/>
          <w:sz w:val="26"/>
        </w:rPr>
        <w:t>5.3 Financial Cost-Benefit Decision Matrix</w:t>
      </w:r>
    </w:p>
    <w:p w14:paraId="321C8F27" w14:textId="77777777" w:rsidR="00722E74" w:rsidRDefault="00000000">
      <w:pPr>
        <w:spacing w:after="120"/>
      </w:pPr>
      <w:r>
        <w:rPr>
          <w:rFonts w:ascii="Calibri" w:hAnsi="Calibri"/>
          <w:color w:val="2C3E50"/>
          <w:sz w:val="21"/>
        </w:rPr>
        <w:t>Rather than relying on an arbitrary 0.50 threshold, the decision threshold θ* is optimized by maximizing expected net financial utility U(θ):</w:t>
      </w:r>
    </w:p>
    <w:p w14:paraId="0CACA2C3" w14:textId="77777777" w:rsidR="00722E74" w:rsidRDefault="00000000">
      <w:pPr>
        <w:pStyle w:val="ListBullet"/>
        <w:spacing w:after="60"/>
      </w:pPr>
      <w:r>
        <w:rPr>
          <w:rFonts w:ascii="Calibri" w:hAnsi="Calibri"/>
          <w:b/>
          <w:color w:val="1B365D"/>
          <w:sz w:val="21"/>
        </w:rPr>
        <w:t xml:space="preserve">True Positive (TP) Payoff: </w:t>
      </w:r>
      <w:r>
        <w:rPr>
          <w:rFonts w:ascii="Calibri" w:hAnsi="Calibri"/>
          <w:color w:val="2C3E50"/>
          <w:sz w:val="21"/>
        </w:rPr>
        <w:t>Saved customer lifetime value minus retention campaign cost: V_retained - C_campaign ≈ +$850.</w:t>
      </w:r>
    </w:p>
    <w:p w14:paraId="55ECD347" w14:textId="77777777" w:rsidR="00722E74" w:rsidRDefault="00000000">
      <w:pPr>
        <w:pStyle w:val="ListBullet"/>
        <w:spacing w:after="60"/>
      </w:pPr>
      <w:r>
        <w:rPr>
          <w:rFonts w:ascii="Calibri" w:hAnsi="Calibri"/>
          <w:b/>
          <w:color w:val="1B365D"/>
          <w:sz w:val="21"/>
        </w:rPr>
        <w:t xml:space="preserve">False Positive (FP) Cost: </w:t>
      </w:r>
      <w:r>
        <w:rPr>
          <w:rFonts w:ascii="Calibri" w:hAnsi="Calibri"/>
          <w:color w:val="2C3E50"/>
          <w:sz w:val="21"/>
        </w:rPr>
        <w:t>Cost of outreach/discount provided to a customer who would not have churned: -C_campaign ≈ -$50.</w:t>
      </w:r>
    </w:p>
    <w:p w14:paraId="79722CB9" w14:textId="77777777" w:rsidR="00722E74" w:rsidRDefault="00000000">
      <w:pPr>
        <w:pStyle w:val="ListBullet"/>
        <w:spacing w:after="60"/>
      </w:pPr>
      <w:r>
        <w:rPr>
          <w:rFonts w:ascii="Calibri" w:hAnsi="Calibri"/>
          <w:b/>
          <w:color w:val="1B365D"/>
          <w:sz w:val="21"/>
        </w:rPr>
        <w:t xml:space="preserve">False Negative (FN) Cost: </w:t>
      </w:r>
      <w:r>
        <w:rPr>
          <w:rFonts w:ascii="Calibri" w:hAnsi="Calibri"/>
          <w:color w:val="2C3E50"/>
          <w:sz w:val="21"/>
        </w:rPr>
        <w:t>Unmitigated loss of customer lifetime value: -LTV ≈ -$1,200.</w:t>
      </w:r>
    </w:p>
    <w:p w14:paraId="2C2A9E8F" w14:textId="77777777" w:rsidR="00722E74" w:rsidRDefault="00000000">
      <w:pPr>
        <w:pStyle w:val="ListBullet"/>
        <w:spacing w:after="60"/>
      </w:pPr>
      <w:r>
        <w:rPr>
          <w:rFonts w:ascii="Calibri" w:hAnsi="Calibri"/>
          <w:b/>
          <w:color w:val="1B365D"/>
          <w:sz w:val="21"/>
        </w:rPr>
        <w:t xml:space="preserve">True Negative (TN) Payoff: </w:t>
      </w:r>
      <w:r>
        <w:rPr>
          <w:rFonts w:ascii="Calibri" w:hAnsi="Calibri"/>
          <w:color w:val="2C3E50"/>
          <w:sz w:val="21"/>
        </w:rPr>
        <w:t>Retained customer with zero intervention cost: $0.</w:t>
      </w:r>
    </w:p>
    <w:p w14:paraId="7A119668" w14:textId="77777777" w:rsidR="00722E74" w:rsidRDefault="00000000">
      <w:pPr>
        <w:spacing w:after="120"/>
      </w:pPr>
      <w:r>
        <w:rPr>
          <w:rFonts w:ascii="Calibri" w:hAnsi="Calibri"/>
          <w:color w:val="2C3E50"/>
          <w:sz w:val="21"/>
        </w:rPr>
        <w:t>Expected Financial Utility Formulation:</w:t>
      </w:r>
    </w:p>
    <w:tbl>
      <w:tblPr>
        <w:tblW w:w="0" w:type="auto"/>
        <w:jc w:val="center"/>
        <w:tblLook w:val="04A0" w:firstRow="1" w:lastRow="0" w:firstColumn="1" w:lastColumn="0" w:noHBand="0" w:noVBand="1"/>
      </w:tblPr>
      <w:tblGrid>
        <w:gridCol w:w="9360"/>
      </w:tblGrid>
      <w:tr w:rsidR="00722E74" w14:paraId="70E914BC" w14:textId="77777777">
        <w:trPr>
          <w:jc w:val="center"/>
        </w:trPr>
        <w:tc>
          <w:tcPr>
            <w:tcW w:w="9360" w:type="dxa"/>
            <w:tcBorders>
              <w:left w:val="single" w:sz="24" w:space="0" w:color="1B365D"/>
            </w:tcBorders>
            <w:shd w:val="clear" w:color="auto" w:fill="EEF4F8"/>
            <w:tcMar>
              <w:top w:w="140" w:type="dxa"/>
              <w:left w:w="180" w:type="dxa"/>
              <w:bottom w:w="140" w:type="dxa"/>
              <w:right w:w="180" w:type="dxa"/>
            </w:tcMar>
          </w:tcPr>
          <w:p w14:paraId="0FC41868" w14:textId="77777777" w:rsidR="00722E74" w:rsidRDefault="00000000">
            <w:pPr>
              <w:spacing w:after="40"/>
            </w:pPr>
            <w:r>
              <w:rPr>
                <w:rFonts w:ascii="Segoe UI" w:hAnsi="Segoe UI"/>
                <w:b/>
                <w:color w:val="1B365D"/>
                <w:sz w:val="21"/>
              </w:rPr>
              <w:t>Expected Net Profit Optimization Equation</w:t>
            </w:r>
            <w:r>
              <w:rPr>
                <w:rFonts w:ascii="Segoe UI" w:hAnsi="Segoe UI"/>
                <w:b/>
                <w:color w:val="1B365D"/>
                <w:sz w:val="21"/>
              </w:rPr>
              <w:br/>
            </w:r>
            <w:r>
              <w:rPr>
                <w:rFonts w:ascii="Calibri" w:hAnsi="Calibri"/>
                <w:color w:val="2C3E50"/>
                <w:sz w:val="20"/>
              </w:rPr>
              <w:t>Max Net Utility(θ) = N · [ P(TP|θ) · ($850) + P(FP|θ) · (-$50) + P(FN|θ) · (-$1,200) + P(TN|θ) · ($0) ]</w:t>
            </w:r>
            <w:r>
              <w:rPr>
                <w:rFonts w:ascii="Calibri" w:hAnsi="Calibri"/>
                <w:color w:val="2C3E50"/>
                <w:sz w:val="20"/>
              </w:rPr>
              <w:br/>
            </w:r>
            <w:r>
              <w:rPr>
                <w:rFonts w:ascii="Calibri" w:hAnsi="Calibri"/>
                <w:color w:val="2C3E50"/>
                <w:sz w:val="20"/>
              </w:rPr>
              <w:br/>
              <w:t>Optimizing this curve across threshold values θ ∈ [0.01, 0.99] determines the maximum ROI operating point (typically θ* ≈ 0.28 to 0.35 in subscription churn).</w:t>
            </w:r>
          </w:p>
        </w:tc>
      </w:tr>
    </w:tbl>
    <w:p w14:paraId="38CD7106" w14:textId="77777777" w:rsidR="00722E74" w:rsidRDefault="00722E74">
      <w:pPr>
        <w:spacing w:after="120"/>
      </w:pPr>
    </w:p>
    <w:p w14:paraId="3C75CF6B" w14:textId="77777777" w:rsidR="00722E74" w:rsidRDefault="00000000">
      <w:pPr>
        <w:keepNext/>
        <w:spacing w:before="240" w:after="80"/>
      </w:pPr>
      <w:r>
        <w:rPr>
          <w:rFonts w:ascii="Segoe UI" w:hAnsi="Segoe UI"/>
          <w:b/>
          <w:color w:val="2E6B9E"/>
          <w:sz w:val="26"/>
        </w:rPr>
        <w:t>5.4 Model Explainability &amp; Interpretability (SHAP / LIME)</w:t>
      </w:r>
    </w:p>
    <w:p w14:paraId="0EA3065A" w14:textId="77777777" w:rsidR="00722E74" w:rsidRDefault="00000000">
      <w:pPr>
        <w:spacing w:after="120"/>
      </w:pPr>
      <w:r>
        <w:rPr>
          <w:rFonts w:ascii="Calibri" w:hAnsi="Calibri"/>
          <w:color w:val="2C3E50"/>
          <w:sz w:val="21"/>
        </w:rPr>
        <w:t>To empower customer success teams and meet regulatory transparency standards, TreeSHAP (SHapley Additive exPlanations) is integrated directly into the inference layer:</w:t>
      </w:r>
    </w:p>
    <w:p w14:paraId="1F37734E" w14:textId="77777777" w:rsidR="00722E74" w:rsidRDefault="00000000">
      <w:pPr>
        <w:pStyle w:val="ListBullet"/>
        <w:spacing w:after="60"/>
      </w:pPr>
      <w:r>
        <w:rPr>
          <w:rFonts w:ascii="Calibri" w:hAnsi="Calibri"/>
          <w:b/>
          <w:color w:val="1B365D"/>
          <w:sz w:val="21"/>
        </w:rPr>
        <w:t xml:space="preserve">Global Interpretability: </w:t>
      </w:r>
      <w:r>
        <w:rPr>
          <w:rFonts w:ascii="Calibri" w:hAnsi="Calibri"/>
          <w:color w:val="2C3E50"/>
          <w:sz w:val="21"/>
        </w:rPr>
        <w:t>SHAP feature importance bar charts and beeswarm summary plots identify the macro drivers of enterprise churn (e.g., ticket resolution latency, contract expiration proximity).</w:t>
      </w:r>
    </w:p>
    <w:p w14:paraId="2D4F2B30" w14:textId="77777777" w:rsidR="00722E74" w:rsidRDefault="00000000">
      <w:pPr>
        <w:pStyle w:val="ListBullet"/>
        <w:spacing w:after="60"/>
      </w:pPr>
      <w:r>
        <w:rPr>
          <w:rFonts w:ascii="Calibri" w:hAnsi="Calibri"/>
          <w:b/>
          <w:color w:val="1B365D"/>
          <w:sz w:val="21"/>
        </w:rPr>
        <w:t xml:space="preserve">Local Customer Explainability: </w:t>
      </w:r>
      <w:r>
        <w:rPr>
          <w:rFonts w:ascii="Calibri" w:hAnsi="Calibri"/>
          <w:color w:val="2C3E50"/>
          <w:sz w:val="21"/>
        </w:rPr>
        <w:t>For every individual high-risk alert, the API generates a localized waterfall plot showing exactly which factors pushed that specific account's risk score above threshold θ*.</w:t>
      </w:r>
    </w:p>
    <w:p w14:paraId="51389E96" w14:textId="77777777" w:rsidR="00722E74" w:rsidRDefault="00000000">
      <w:pPr>
        <w:keepNext/>
        <w:spacing w:before="320" w:after="120"/>
      </w:pPr>
      <w:r>
        <w:rPr>
          <w:rFonts w:ascii="Segoe UI" w:hAnsi="Segoe UI"/>
          <w:b/>
          <w:color w:val="1B365D"/>
          <w:sz w:val="32"/>
        </w:rPr>
        <w:t>6. MLOps Production Deployment &amp; Maintenance Lifecycle</w:t>
      </w:r>
    </w:p>
    <w:p w14:paraId="0428CBA5" w14:textId="77777777" w:rsidR="00722E74" w:rsidRDefault="00000000">
      <w:pPr>
        <w:spacing w:after="120"/>
      </w:pPr>
      <w:r>
        <w:rPr>
          <w:rFonts w:ascii="Calibri" w:hAnsi="Calibri"/>
          <w:color w:val="2C3E50"/>
          <w:sz w:val="21"/>
        </w:rPr>
        <w:t>A machine learning model creates business value only when reliably deployed, monitored, and maintained in production. Figure 4 details the serving architecture and automated drift feedback loops.</w:t>
      </w:r>
    </w:p>
    <w:p w14:paraId="2C1922AE" w14:textId="77777777" w:rsidR="00722E74" w:rsidRDefault="00000000">
      <w:pPr>
        <w:spacing w:before="160" w:after="80"/>
        <w:jc w:val="center"/>
      </w:pPr>
      <w:r>
        <w:rPr>
          <w:noProof/>
        </w:rPr>
        <w:drawing>
          <wp:inline distT="0" distB="0" distL="0" distR="0" wp14:anchorId="277EC833" wp14:editId="45D311FC">
            <wp:extent cx="5760720" cy="30824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ops_deployment_lifecycle.png"/>
                    <pic:cNvPicPr/>
                  </pic:nvPicPr>
                  <pic:blipFill>
                    <a:blip r:embed="rId11"/>
                    <a:stretch>
                      <a:fillRect/>
                    </a:stretch>
                  </pic:blipFill>
                  <pic:spPr>
                    <a:xfrm>
                      <a:off x="0" y="0"/>
                      <a:ext cx="5760720" cy="3082491"/>
                    </a:xfrm>
                    <a:prstGeom prst="rect">
                      <a:avLst/>
                    </a:prstGeom>
                  </pic:spPr>
                </pic:pic>
              </a:graphicData>
            </a:graphic>
          </wp:inline>
        </w:drawing>
      </w:r>
    </w:p>
    <w:p w14:paraId="5B54275B" w14:textId="77777777" w:rsidR="00722E74" w:rsidRDefault="00000000">
      <w:pPr>
        <w:jc w:val="center"/>
      </w:pPr>
      <w:r>
        <w:rPr>
          <w:rFonts w:ascii="Calibri" w:hAnsi="Calibri"/>
          <w:i/>
          <w:color w:val="646E78"/>
          <w:sz w:val="19"/>
        </w:rPr>
        <w:t>Figure: Production Inference, Continuous Observability, and Automated Retraining Architecture.</w:t>
      </w:r>
    </w:p>
    <w:p w14:paraId="4676A619" w14:textId="77777777" w:rsidR="00722E74" w:rsidRDefault="00000000">
      <w:pPr>
        <w:keepNext/>
        <w:spacing w:before="240" w:after="80"/>
      </w:pPr>
      <w:r>
        <w:rPr>
          <w:rFonts w:ascii="Segoe UI" w:hAnsi="Segoe UI"/>
          <w:b/>
          <w:color w:val="2E6B9E"/>
          <w:sz w:val="26"/>
        </w:rPr>
        <w:t>6.1 Serving Architecture &amp; Containerization</w:t>
      </w:r>
    </w:p>
    <w:p w14:paraId="50CEF754" w14:textId="77777777" w:rsidR="00722E74" w:rsidRDefault="00000000">
      <w:pPr>
        <w:pStyle w:val="ListBullet"/>
        <w:spacing w:after="60"/>
      </w:pPr>
      <w:r>
        <w:rPr>
          <w:rFonts w:ascii="Calibri" w:hAnsi="Calibri"/>
          <w:b/>
          <w:color w:val="1B365D"/>
          <w:sz w:val="21"/>
        </w:rPr>
        <w:t xml:space="preserve">Real-Time Inference Service: </w:t>
      </w:r>
      <w:r>
        <w:rPr>
          <w:rFonts w:ascii="Calibri" w:hAnsi="Calibri"/>
          <w:color w:val="2C3E50"/>
          <w:sz w:val="21"/>
        </w:rPr>
        <w:t>A high-performance asynchronous REST API built with FastAPI, validating input payloads via Pydantic schemas. Supports batch and single-record predictions with P99 latency &lt; 25ms.</w:t>
      </w:r>
    </w:p>
    <w:p w14:paraId="2EF34116" w14:textId="77777777" w:rsidR="00722E74" w:rsidRDefault="00000000">
      <w:pPr>
        <w:pStyle w:val="ListBullet"/>
        <w:spacing w:after="60"/>
      </w:pPr>
      <w:r>
        <w:rPr>
          <w:rFonts w:ascii="Calibri" w:hAnsi="Calibri"/>
          <w:b/>
          <w:color w:val="1B365D"/>
          <w:sz w:val="21"/>
        </w:rPr>
        <w:t xml:space="preserve">Batch Scoring Worker: </w:t>
      </w:r>
      <w:r>
        <w:rPr>
          <w:rFonts w:ascii="Calibri" w:hAnsi="Calibri"/>
          <w:color w:val="2C3E50"/>
          <w:sz w:val="21"/>
        </w:rPr>
        <w:t>Apache Airflow scheduled pipeline running nightly batch scoring on the entire active subscriber base, streaming risk scores directly into Salesforce CRM and Snowflake data warehouse.</w:t>
      </w:r>
    </w:p>
    <w:p w14:paraId="4514AE3A" w14:textId="77777777" w:rsidR="00722E74" w:rsidRDefault="00000000">
      <w:pPr>
        <w:pStyle w:val="ListBullet"/>
        <w:spacing w:after="60"/>
      </w:pPr>
      <w:r>
        <w:rPr>
          <w:rFonts w:ascii="Calibri" w:hAnsi="Calibri"/>
          <w:b/>
          <w:color w:val="1B365D"/>
          <w:sz w:val="21"/>
        </w:rPr>
        <w:t xml:space="preserve">Containerization &amp; Registry: </w:t>
      </w:r>
      <w:r>
        <w:rPr>
          <w:rFonts w:ascii="Calibri" w:hAnsi="Calibri"/>
          <w:color w:val="2C3E50"/>
          <w:sz w:val="21"/>
        </w:rPr>
        <w:t>Models are exported to ONNX (Open Neural Network Exchange) format and serialized via MLflow Model Registry. Services are containerized with Docker and orchestrated via Kubernetes (EKS/GKE).</w:t>
      </w:r>
    </w:p>
    <w:p w14:paraId="456CBA9E" w14:textId="77777777" w:rsidR="00722E74" w:rsidRDefault="00000000">
      <w:pPr>
        <w:keepNext/>
        <w:spacing w:before="240" w:after="80"/>
      </w:pPr>
      <w:r>
        <w:rPr>
          <w:rFonts w:ascii="Segoe UI" w:hAnsi="Segoe UI"/>
          <w:b/>
          <w:color w:val="2E6B9E"/>
          <w:sz w:val="26"/>
        </w:rPr>
        <w:t>6.2 Drift Detection &amp; Continuous Observability</w:t>
      </w:r>
    </w:p>
    <w:p w14:paraId="7740072D" w14:textId="77777777" w:rsidR="00722E74" w:rsidRDefault="00000000">
      <w:pPr>
        <w:spacing w:after="120"/>
      </w:pPr>
      <w:r>
        <w:rPr>
          <w:rFonts w:ascii="Calibri" w:hAnsi="Calibri"/>
          <w:color w:val="2C3E50"/>
          <w:sz w:val="21"/>
        </w:rPr>
        <w:t>Over time, changes in customer behavior, pricing models, or external market conditions cause model degradation. The observability stack continuously monitors three drift vectors: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160"/>
        <w:gridCol w:w="2880"/>
        <w:gridCol w:w="2016"/>
        <w:gridCol w:w="2304"/>
      </w:tblGrid>
      <w:tr w:rsidR="00722E74" w14:paraId="4402BBFD" w14:textId="77777777">
        <w:trPr>
          <w:jc w:val="center"/>
        </w:trPr>
        <w:tc>
          <w:tcPr>
            <w:tcW w:w="2160" w:type="dxa"/>
            <w:shd w:val="clear" w:color="auto" w:fill="1B365D"/>
            <w:tcMar>
              <w:top w:w="120" w:type="dxa"/>
              <w:left w:w="140" w:type="dxa"/>
              <w:bottom w:w="120" w:type="dxa"/>
              <w:right w:w="140" w:type="dxa"/>
            </w:tcMar>
          </w:tcPr>
          <w:p w14:paraId="6E6049FF" w14:textId="77777777" w:rsidR="00722E74" w:rsidRDefault="00000000">
            <w:pPr>
              <w:spacing w:after="0"/>
            </w:pPr>
            <w:r>
              <w:rPr>
                <w:rFonts w:ascii="Segoe UI" w:hAnsi="Segoe UI"/>
                <w:b/>
                <w:color w:val="FFFFFF"/>
                <w:sz w:val="19"/>
              </w:rPr>
              <w:t>Drift Category</w:t>
            </w:r>
          </w:p>
        </w:tc>
        <w:tc>
          <w:tcPr>
            <w:tcW w:w="2880" w:type="dxa"/>
            <w:shd w:val="clear" w:color="auto" w:fill="1B365D"/>
            <w:tcMar>
              <w:top w:w="120" w:type="dxa"/>
              <w:left w:w="140" w:type="dxa"/>
              <w:bottom w:w="120" w:type="dxa"/>
              <w:right w:w="140" w:type="dxa"/>
            </w:tcMar>
          </w:tcPr>
          <w:p w14:paraId="7F03B731" w14:textId="77777777" w:rsidR="00722E74" w:rsidRDefault="00000000">
            <w:pPr>
              <w:spacing w:after="0"/>
            </w:pPr>
            <w:r>
              <w:rPr>
                <w:rFonts w:ascii="Segoe UI" w:hAnsi="Segoe UI"/>
                <w:b/>
                <w:color w:val="FFFFFF"/>
                <w:sz w:val="19"/>
              </w:rPr>
              <w:t>Detection Methodology</w:t>
            </w:r>
          </w:p>
        </w:tc>
        <w:tc>
          <w:tcPr>
            <w:tcW w:w="2016" w:type="dxa"/>
            <w:shd w:val="clear" w:color="auto" w:fill="1B365D"/>
            <w:tcMar>
              <w:top w:w="120" w:type="dxa"/>
              <w:left w:w="140" w:type="dxa"/>
              <w:bottom w:w="120" w:type="dxa"/>
              <w:right w:w="140" w:type="dxa"/>
            </w:tcMar>
          </w:tcPr>
          <w:p w14:paraId="4C97C0DF" w14:textId="77777777" w:rsidR="00722E74" w:rsidRDefault="00000000">
            <w:pPr>
              <w:spacing w:after="0"/>
            </w:pPr>
            <w:r>
              <w:rPr>
                <w:rFonts w:ascii="Segoe UI" w:hAnsi="Segoe UI"/>
                <w:b/>
                <w:color w:val="FFFFFF"/>
                <w:sz w:val="19"/>
              </w:rPr>
              <w:t>Alert Threshold</w:t>
            </w:r>
          </w:p>
        </w:tc>
        <w:tc>
          <w:tcPr>
            <w:tcW w:w="2304" w:type="dxa"/>
            <w:shd w:val="clear" w:color="auto" w:fill="1B365D"/>
            <w:tcMar>
              <w:top w:w="120" w:type="dxa"/>
              <w:left w:w="140" w:type="dxa"/>
              <w:bottom w:w="120" w:type="dxa"/>
              <w:right w:w="140" w:type="dxa"/>
            </w:tcMar>
          </w:tcPr>
          <w:p w14:paraId="74CEFE67" w14:textId="77777777" w:rsidR="00722E74" w:rsidRDefault="00000000">
            <w:pPr>
              <w:spacing w:after="0"/>
            </w:pPr>
            <w:r>
              <w:rPr>
                <w:rFonts w:ascii="Segoe UI" w:hAnsi="Segoe UI"/>
                <w:b/>
                <w:color w:val="FFFFFF"/>
                <w:sz w:val="19"/>
              </w:rPr>
              <w:t>Mitigation Action</w:t>
            </w:r>
          </w:p>
        </w:tc>
      </w:tr>
      <w:tr w:rsidR="00722E74" w14:paraId="2C47F420" w14:textId="77777777">
        <w:trPr>
          <w:jc w:val="center"/>
        </w:trPr>
        <w:tc>
          <w:tcPr>
            <w:tcW w:w="2160" w:type="dxa"/>
            <w:shd w:val="clear" w:color="auto" w:fill="FFFFFF"/>
            <w:tcMar>
              <w:top w:w="100" w:type="dxa"/>
              <w:left w:w="140" w:type="dxa"/>
              <w:bottom w:w="100" w:type="dxa"/>
              <w:right w:w="140" w:type="dxa"/>
            </w:tcMar>
          </w:tcPr>
          <w:p w14:paraId="37F2BB71" w14:textId="77777777" w:rsidR="00722E74" w:rsidRDefault="00000000">
            <w:pPr>
              <w:spacing w:after="0" w:line="264" w:lineRule="auto"/>
            </w:pPr>
            <w:r>
              <w:rPr>
                <w:rFonts w:ascii="Calibri" w:hAnsi="Calibri"/>
                <w:color w:val="2C3E50"/>
                <w:sz w:val="19"/>
              </w:rPr>
              <w:t>Data Drift (Covariate Shift)</w:t>
            </w:r>
          </w:p>
        </w:tc>
        <w:tc>
          <w:tcPr>
            <w:tcW w:w="2880" w:type="dxa"/>
            <w:shd w:val="clear" w:color="auto" w:fill="FFFFFF"/>
            <w:tcMar>
              <w:top w:w="100" w:type="dxa"/>
              <w:left w:w="140" w:type="dxa"/>
              <w:bottom w:w="100" w:type="dxa"/>
              <w:right w:w="140" w:type="dxa"/>
            </w:tcMar>
          </w:tcPr>
          <w:p w14:paraId="760DB26B" w14:textId="77777777" w:rsidR="00722E74" w:rsidRDefault="00000000">
            <w:pPr>
              <w:spacing w:after="0" w:line="264" w:lineRule="auto"/>
            </w:pPr>
            <w:r>
              <w:rPr>
                <w:rFonts w:ascii="Calibri" w:hAnsi="Calibri"/>
                <w:color w:val="2C3E50"/>
                <w:sz w:val="19"/>
              </w:rPr>
              <w:t>Population Stability Index (PSI) &amp; 2-Sample Kolmogorov-Smirnov Test on feature distributions.</w:t>
            </w:r>
          </w:p>
        </w:tc>
        <w:tc>
          <w:tcPr>
            <w:tcW w:w="2016" w:type="dxa"/>
            <w:shd w:val="clear" w:color="auto" w:fill="FFFFFF"/>
            <w:tcMar>
              <w:top w:w="100" w:type="dxa"/>
              <w:left w:w="140" w:type="dxa"/>
              <w:bottom w:w="100" w:type="dxa"/>
              <w:right w:w="140" w:type="dxa"/>
            </w:tcMar>
          </w:tcPr>
          <w:p w14:paraId="0682A0F2" w14:textId="77777777" w:rsidR="00722E74" w:rsidRDefault="00000000">
            <w:pPr>
              <w:spacing w:after="0" w:line="264" w:lineRule="auto"/>
            </w:pPr>
            <w:r>
              <w:rPr>
                <w:rFonts w:ascii="Calibri" w:hAnsi="Calibri"/>
                <w:color w:val="2C3E50"/>
                <w:sz w:val="19"/>
              </w:rPr>
              <w:t>PSI &gt; 0.20 on top features; KS p-value &lt; 0.01</w:t>
            </w:r>
          </w:p>
        </w:tc>
        <w:tc>
          <w:tcPr>
            <w:tcW w:w="2304" w:type="dxa"/>
            <w:shd w:val="clear" w:color="auto" w:fill="FFFFFF"/>
            <w:tcMar>
              <w:top w:w="100" w:type="dxa"/>
              <w:left w:w="140" w:type="dxa"/>
              <w:bottom w:w="100" w:type="dxa"/>
              <w:right w:w="140" w:type="dxa"/>
            </w:tcMar>
          </w:tcPr>
          <w:p w14:paraId="5C6510F2" w14:textId="77777777" w:rsidR="00722E74" w:rsidRDefault="00000000">
            <w:pPr>
              <w:spacing w:after="0" w:line="264" w:lineRule="auto"/>
            </w:pPr>
            <w:r>
              <w:rPr>
                <w:rFonts w:ascii="Calibri" w:hAnsi="Calibri"/>
                <w:color w:val="2C3E50"/>
                <w:sz w:val="19"/>
              </w:rPr>
              <w:t>Trigger automated feature pipeline audit; check upstream data ingestion integrity.</w:t>
            </w:r>
          </w:p>
        </w:tc>
      </w:tr>
      <w:tr w:rsidR="00722E74" w14:paraId="52B1E3AC" w14:textId="77777777">
        <w:trPr>
          <w:jc w:val="center"/>
        </w:trPr>
        <w:tc>
          <w:tcPr>
            <w:tcW w:w="2160" w:type="dxa"/>
            <w:shd w:val="clear" w:color="auto" w:fill="F4F7FA"/>
            <w:tcMar>
              <w:top w:w="100" w:type="dxa"/>
              <w:left w:w="140" w:type="dxa"/>
              <w:bottom w:w="100" w:type="dxa"/>
              <w:right w:w="140" w:type="dxa"/>
            </w:tcMar>
          </w:tcPr>
          <w:p w14:paraId="5F6D2BCA" w14:textId="77777777" w:rsidR="00722E74" w:rsidRDefault="00000000">
            <w:pPr>
              <w:spacing w:after="0" w:line="264" w:lineRule="auto"/>
            </w:pPr>
            <w:r>
              <w:rPr>
                <w:rFonts w:ascii="Calibri" w:hAnsi="Calibri"/>
                <w:color w:val="2C3E50"/>
                <w:sz w:val="19"/>
              </w:rPr>
              <w:t>Concept Drift (P(y|X) Shift)</w:t>
            </w:r>
          </w:p>
        </w:tc>
        <w:tc>
          <w:tcPr>
            <w:tcW w:w="2880" w:type="dxa"/>
            <w:shd w:val="clear" w:color="auto" w:fill="F4F7FA"/>
            <w:tcMar>
              <w:top w:w="100" w:type="dxa"/>
              <w:left w:w="140" w:type="dxa"/>
              <w:bottom w:w="100" w:type="dxa"/>
              <w:right w:w="140" w:type="dxa"/>
            </w:tcMar>
          </w:tcPr>
          <w:p w14:paraId="7A35DF1D" w14:textId="77777777" w:rsidR="00722E74" w:rsidRDefault="00000000">
            <w:pPr>
              <w:spacing w:after="0" w:line="264" w:lineRule="auto"/>
            </w:pPr>
            <w:r>
              <w:rPr>
                <w:rFonts w:ascii="Calibri" w:hAnsi="Calibri"/>
                <w:color w:val="2C3E50"/>
                <w:sz w:val="19"/>
              </w:rPr>
              <w:t>Tracking rolling PR-AUC and Brier score against realized ground-truth churn events (60-day lag).</w:t>
            </w:r>
          </w:p>
        </w:tc>
        <w:tc>
          <w:tcPr>
            <w:tcW w:w="2016" w:type="dxa"/>
            <w:shd w:val="clear" w:color="auto" w:fill="F4F7FA"/>
            <w:tcMar>
              <w:top w:w="100" w:type="dxa"/>
              <w:left w:w="140" w:type="dxa"/>
              <w:bottom w:w="100" w:type="dxa"/>
              <w:right w:w="140" w:type="dxa"/>
            </w:tcMar>
          </w:tcPr>
          <w:p w14:paraId="7FBD499A" w14:textId="77777777" w:rsidR="00722E74" w:rsidRDefault="00000000">
            <w:pPr>
              <w:spacing w:after="0" w:line="264" w:lineRule="auto"/>
            </w:pPr>
            <w:r>
              <w:rPr>
                <w:rFonts w:ascii="Calibri" w:hAnsi="Calibri"/>
                <w:color w:val="2C3E50"/>
                <w:sz w:val="19"/>
              </w:rPr>
              <w:t>PR-AUC drop &gt; 8% from baseline</w:t>
            </w:r>
          </w:p>
        </w:tc>
        <w:tc>
          <w:tcPr>
            <w:tcW w:w="2304" w:type="dxa"/>
            <w:shd w:val="clear" w:color="auto" w:fill="F4F7FA"/>
            <w:tcMar>
              <w:top w:w="100" w:type="dxa"/>
              <w:left w:w="140" w:type="dxa"/>
              <w:bottom w:w="100" w:type="dxa"/>
              <w:right w:w="140" w:type="dxa"/>
            </w:tcMar>
          </w:tcPr>
          <w:p w14:paraId="1BBD92B5" w14:textId="77777777" w:rsidR="00722E74" w:rsidRDefault="00000000">
            <w:pPr>
              <w:spacing w:after="0" w:line="264" w:lineRule="auto"/>
            </w:pPr>
            <w:r>
              <w:rPr>
                <w:rFonts w:ascii="Calibri" w:hAnsi="Calibri"/>
                <w:color w:val="2C3E50"/>
                <w:sz w:val="19"/>
              </w:rPr>
              <w:t>Trigger automated retraining pipeline on latest 12-month rolling data window.</w:t>
            </w:r>
          </w:p>
        </w:tc>
      </w:tr>
      <w:tr w:rsidR="00722E74" w14:paraId="35F19295" w14:textId="77777777">
        <w:trPr>
          <w:jc w:val="center"/>
        </w:trPr>
        <w:tc>
          <w:tcPr>
            <w:tcW w:w="2160" w:type="dxa"/>
            <w:shd w:val="clear" w:color="auto" w:fill="FFFFFF"/>
            <w:tcMar>
              <w:top w:w="100" w:type="dxa"/>
              <w:left w:w="140" w:type="dxa"/>
              <w:bottom w:w="100" w:type="dxa"/>
              <w:right w:w="140" w:type="dxa"/>
            </w:tcMar>
          </w:tcPr>
          <w:p w14:paraId="0D7826FD" w14:textId="77777777" w:rsidR="00722E74" w:rsidRDefault="00000000">
            <w:pPr>
              <w:spacing w:after="0" w:line="264" w:lineRule="auto"/>
            </w:pPr>
            <w:r>
              <w:rPr>
                <w:rFonts w:ascii="Calibri" w:hAnsi="Calibri"/>
                <w:color w:val="2C3E50"/>
                <w:sz w:val="19"/>
              </w:rPr>
              <w:t>Operational Drift</w:t>
            </w:r>
          </w:p>
        </w:tc>
        <w:tc>
          <w:tcPr>
            <w:tcW w:w="2880" w:type="dxa"/>
            <w:shd w:val="clear" w:color="auto" w:fill="FFFFFF"/>
            <w:tcMar>
              <w:top w:w="100" w:type="dxa"/>
              <w:left w:w="140" w:type="dxa"/>
              <w:bottom w:w="100" w:type="dxa"/>
              <w:right w:w="140" w:type="dxa"/>
            </w:tcMar>
          </w:tcPr>
          <w:p w14:paraId="557C61CB" w14:textId="77777777" w:rsidR="00722E74" w:rsidRDefault="00000000">
            <w:pPr>
              <w:spacing w:after="0" w:line="264" w:lineRule="auto"/>
            </w:pPr>
            <w:r>
              <w:rPr>
                <w:rFonts w:ascii="Calibri" w:hAnsi="Calibri"/>
                <w:color w:val="2C3E50"/>
                <w:sz w:val="19"/>
              </w:rPr>
              <w:t>Prometheus &amp; Grafana tracking API request throughput, P95 latency, and memory utilization.</w:t>
            </w:r>
          </w:p>
        </w:tc>
        <w:tc>
          <w:tcPr>
            <w:tcW w:w="2016" w:type="dxa"/>
            <w:shd w:val="clear" w:color="auto" w:fill="FFFFFF"/>
            <w:tcMar>
              <w:top w:w="100" w:type="dxa"/>
              <w:left w:w="140" w:type="dxa"/>
              <w:bottom w:w="100" w:type="dxa"/>
              <w:right w:w="140" w:type="dxa"/>
            </w:tcMar>
          </w:tcPr>
          <w:p w14:paraId="1FC09731" w14:textId="77777777" w:rsidR="00722E74" w:rsidRDefault="00000000">
            <w:pPr>
              <w:spacing w:after="0" w:line="264" w:lineRule="auto"/>
            </w:pPr>
            <w:r>
              <w:rPr>
                <w:rFonts w:ascii="Calibri" w:hAnsi="Calibri"/>
                <w:color w:val="2C3E50"/>
                <w:sz w:val="19"/>
              </w:rPr>
              <w:t>P95 Latency &gt; 100ms; Error Rate &gt; 0.5%</w:t>
            </w:r>
          </w:p>
        </w:tc>
        <w:tc>
          <w:tcPr>
            <w:tcW w:w="2304" w:type="dxa"/>
            <w:shd w:val="clear" w:color="auto" w:fill="FFFFFF"/>
            <w:tcMar>
              <w:top w:w="100" w:type="dxa"/>
              <w:left w:w="140" w:type="dxa"/>
              <w:bottom w:w="100" w:type="dxa"/>
              <w:right w:w="140" w:type="dxa"/>
            </w:tcMar>
          </w:tcPr>
          <w:p w14:paraId="3A75029A" w14:textId="77777777" w:rsidR="00722E74" w:rsidRDefault="00000000">
            <w:pPr>
              <w:spacing w:after="0" w:line="264" w:lineRule="auto"/>
            </w:pPr>
            <w:r>
              <w:rPr>
                <w:rFonts w:ascii="Calibri" w:hAnsi="Calibri"/>
                <w:color w:val="2C3E50"/>
                <w:sz w:val="19"/>
              </w:rPr>
              <w:t>Kubernetes horizontal pod autoscaling (HPA) and worker node provisioning.</w:t>
            </w:r>
          </w:p>
        </w:tc>
      </w:tr>
    </w:tbl>
    <w:p w14:paraId="0F91204B" w14:textId="77777777" w:rsidR="00722E74" w:rsidRDefault="00722E74">
      <w:pPr>
        <w:spacing w:after="120"/>
      </w:pPr>
    </w:p>
    <w:p w14:paraId="4D909FA2" w14:textId="77777777" w:rsidR="00722E74" w:rsidRDefault="00000000">
      <w:pPr>
        <w:keepNext/>
        <w:spacing w:before="240" w:after="80"/>
      </w:pPr>
      <w:r>
        <w:rPr>
          <w:rFonts w:ascii="Segoe UI" w:hAnsi="Segoe UI"/>
          <w:b/>
          <w:color w:val="2E6B9E"/>
          <w:sz w:val="26"/>
        </w:rPr>
        <w:t>6.3 Continuous Training (CI/CD/CT) &amp; Deployment Strategy</w:t>
      </w:r>
    </w:p>
    <w:p w14:paraId="4048E125" w14:textId="77777777" w:rsidR="00722E74" w:rsidRDefault="00000000">
      <w:pPr>
        <w:pStyle w:val="ListBullet"/>
        <w:spacing w:after="60"/>
      </w:pPr>
      <w:r>
        <w:rPr>
          <w:rFonts w:ascii="Calibri" w:hAnsi="Calibri"/>
          <w:b/>
          <w:color w:val="1B365D"/>
          <w:sz w:val="21"/>
        </w:rPr>
        <w:t xml:space="preserve">Automated Continuous Retraining (CT): </w:t>
      </w:r>
      <w:r>
        <w:rPr>
          <w:rFonts w:ascii="Calibri" w:hAnsi="Calibri"/>
          <w:color w:val="2C3E50"/>
          <w:sz w:val="21"/>
        </w:rPr>
        <w:t>When drift thresholds are exceeded or on a scheduled monthly cadence, an Airflow DAG spins up a cloud training container, executes nested CV, verifies performance against the champion model, and registers new candidate weights.</w:t>
      </w:r>
    </w:p>
    <w:p w14:paraId="46F2135F" w14:textId="77777777" w:rsidR="00722E74" w:rsidRDefault="00000000">
      <w:pPr>
        <w:pStyle w:val="ListBullet"/>
        <w:spacing w:after="60"/>
      </w:pPr>
      <w:r>
        <w:rPr>
          <w:rFonts w:ascii="Calibri" w:hAnsi="Calibri"/>
          <w:b/>
          <w:color w:val="1B365D"/>
          <w:sz w:val="21"/>
        </w:rPr>
        <w:t xml:space="preserve">Canary / Blue-Green Deployment: </w:t>
      </w:r>
      <w:r>
        <w:rPr>
          <w:rFonts w:ascii="Calibri" w:hAnsi="Calibri"/>
          <w:color w:val="2C3E50"/>
          <w:sz w:val="21"/>
        </w:rPr>
        <w:t>New models are deployed via Canary routing (90% traffic to Champion, 10% to Challenger). Once latency, calibration, and stability metrics pass automated smoke tests, traffic shifts to 100%.</w:t>
      </w:r>
    </w:p>
    <w:p w14:paraId="4FDDEF90" w14:textId="77777777" w:rsidR="00722E74" w:rsidRDefault="00000000">
      <w:pPr>
        <w:pStyle w:val="ListBullet"/>
        <w:spacing w:after="60"/>
      </w:pPr>
      <w:r>
        <w:rPr>
          <w:rFonts w:ascii="Calibri" w:hAnsi="Calibri"/>
          <w:b/>
          <w:color w:val="1B365D"/>
          <w:sz w:val="21"/>
        </w:rPr>
        <w:t xml:space="preserve">Automated Rollback Safeguard: </w:t>
      </w:r>
      <w:r>
        <w:rPr>
          <w:rFonts w:ascii="Calibri" w:hAnsi="Calibri"/>
          <w:color w:val="2C3E50"/>
          <w:sz w:val="21"/>
        </w:rPr>
        <w:t>Instant zero-downtime rollback to previous artifact version if error rate exceeds 0.1% or unexpected score distribution anomalies occur.</w:t>
      </w:r>
    </w:p>
    <w:p w14:paraId="103C4F2B" w14:textId="77777777" w:rsidR="00722E74" w:rsidRDefault="00000000">
      <w:pPr>
        <w:keepNext/>
        <w:spacing w:before="320" w:after="120"/>
      </w:pPr>
      <w:r>
        <w:rPr>
          <w:rFonts w:ascii="Segoe UI" w:hAnsi="Segoe UI"/>
          <w:b/>
          <w:color w:val="1B365D"/>
          <w:sz w:val="32"/>
        </w:rPr>
        <w:t>7. Risk Management, Governance &amp; Implementation Roadmap</w:t>
      </w:r>
    </w:p>
    <w:p w14:paraId="74B5CEA7" w14:textId="77777777" w:rsidR="00722E74" w:rsidRDefault="00000000">
      <w:pPr>
        <w:keepNext/>
        <w:spacing w:before="240" w:after="80"/>
      </w:pPr>
      <w:r>
        <w:rPr>
          <w:rFonts w:ascii="Segoe UI" w:hAnsi="Segoe UI"/>
          <w:b/>
          <w:color w:val="2E6B9E"/>
          <w:sz w:val="26"/>
        </w:rPr>
        <w:t>7.1 Ethical Considerations, Fairness &amp; Data Privacy</w:t>
      </w:r>
    </w:p>
    <w:p w14:paraId="7DC5D90C" w14:textId="77777777" w:rsidR="00722E74" w:rsidRDefault="00000000">
      <w:pPr>
        <w:pStyle w:val="ListBullet"/>
        <w:spacing w:after="60"/>
      </w:pPr>
      <w:r>
        <w:rPr>
          <w:rFonts w:ascii="Calibri" w:hAnsi="Calibri"/>
          <w:b/>
          <w:color w:val="1B365D"/>
          <w:sz w:val="21"/>
        </w:rPr>
        <w:t xml:space="preserve">Algorithmic Fairness: </w:t>
      </w:r>
      <w:r>
        <w:rPr>
          <w:rFonts w:ascii="Calibri" w:hAnsi="Calibri"/>
          <w:color w:val="2C3E50"/>
          <w:sz w:val="21"/>
        </w:rPr>
        <w:t>Protected demographic attributes (age, gender, ethnicity) are strictly excluded from the feature space. Disparate impact ratios and equal opportunity difference metrics are audited across customer segments to ensure equitable service treatment.</w:t>
      </w:r>
    </w:p>
    <w:p w14:paraId="2A248F48" w14:textId="77777777" w:rsidR="00722E74" w:rsidRDefault="00000000">
      <w:pPr>
        <w:pStyle w:val="ListBullet"/>
        <w:spacing w:after="60"/>
      </w:pPr>
      <w:r>
        <w:rPr>
          <w:rFonts w:ascii="Calibri" w:hAnsi="Calibri"/>
          <w:b/>
          <w:color w:val="1B365D"/>
          <w:sz w:val="21"/>
        </w:rPr>
        <w:t xml:space="preserve">Privacy &amp; Anonymization: </w:t>
      </w:r>
      <w:r>
        <w:rPr>
          <w:rFonts w:ascii="Calibri" w:hAnsi="Calibri"/>
          <w:color w:val="2C3E50"/>
          <w:sz w:val="21"/>
        </w:rPr>
        <w:t>All telemetry pipelines comply with GDPR and CCPA standards. Customer identifiers are pseudonymized using SHA-256 salted hashing before feature store ingestion.</w:t>
      </w:r>
    </w:p>
    <w:p w14:paraId="5799829D" w14:textId="77777777" w:rsidR="00722E74" w:rsidRDefault="00000000">
      <w:pPr>
        <w:keepNext/>
        <w:spacing w:before="240" w:after="80"/>
      </w:pPr>
      <w:r>
        <w:rPr>
          <w:rFonts w:ascii="Segoe UI" w:hAnsi="Segoe UI"/>
          <w:b/>
          <w:color w:val="2E6B9E"/>
          <w:sz w:val="26"/>
        </w:rPr>
        <w:t>7.2 Detailed 35-Hour Implementation Work Breakdown Structure</w:t>
      </w:r>
    </w:p>
    <w:p w14:paraId="3734A97C" w14:textId="77777777" w:rsidR="00722E74" w:rsidRDefault="00000000">
      <w:pPr>
        <w:spacing w:after="120"/>
      </w:pPr>
      <w:r>
        <w:rPr>
          <w:rFonts w:ascii="Calibri" w:hAnsi="Calibri"/>
          <w:color w:val="2C3E50"/>
          <w:sz w:val="21"/>
        </w:rPr>
        <w:t>The following phased work breakdown structure details the 30–35 hours required to execute this comprehensive machine learning implementation: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016"/>
        <w:gridCol w:w="3312"/>
        <w:gridCol w:w="1584"/>
        <w:gridCol w:w="2448"/>
      </w:tblGrid>
      <w:tr w:rsidR="00722E74" w14:paraId="64F3AD01" w14:textId="77777777">
        <w:trPr>
          <w:jc w:val="center"/>
        </w:trPr>
        <w:tc>
          <w:tcPr>
            <w:tcW w:w="2016" w:type="dxa"/>
            <w:shd w:val="clear" w:color="auto" w:fill="1B365D"/>
            <w:tcMar>
              <w:top w:w="120" w:type="dxa"/>
              <w:left w:w="140" w:type="dxa"/>
              <w:bottom w:w="120" w:type="dxa"/>
              <w:right w:w="140" w:type="dxa"/>
            </w:tcMar>
          </w:tcPr>
          <w:p w14:paraId="7A56DBD3" w14:textId="77777777" w:rsidR="00722E74" w:rsidRDefault="00000000">
            <w:pPr>
              <w:spacing w:after="0"/>
            </w:pPr>
            <w:r>
              <w:rPr>
                <w:rFonts w:ascii="Segoe UI" w:hAnsi="Segoe UI"/>
                <w:b/>
                <w:color w:val="FFFFFF"/>
                <w:sz w:val="19"/>
              </w:rPr>
              <w:t>Phase &amp; Focus Area</w:t>
            </w:r>
          </w:p>
        </w:tc>
        <w:tc>
          <w:tcPr>
            <w:tcW w:w="3312" w:type="dxa"/>
            <w:shd w:val="clear" w:color="auto" w:fill="1B365D"/>
            <w:tcMar>
              <w:top w:w="120" w:type="dxa"/>
              <w:left w:w="140" w:type="dxa"/>
              <w:bottom w:w="120" w:type="dxa"/>
              <w:right w:w="140" w:type="dxa"/>
            </w:tcMar>
          </w:tcPr>
          <w:p w14:paraId="713C2F6D" w14:textId="77777777" w:rsidR="00722E74" w:rsidRDefault="00000000">
            <w:pPr>
              <w:spacing w:after="0"/>
            </w:pPr>
            <w:r>
              <w:rPr>
                <w:rFonts w:ascii="Segoe UI" w:hAnsi="Segoe UI"/>
                <w:b/>
                <w:color w:val="FFFFFF"/>
                <w:sz w:val="19"/>
              </w:rPr>
              <w:t>Key Engineering Activities</w:t>
            </w:r>
          </w:p>
        </w:tc>
        <w:tc>
          <w:tcPr>
            <w:tcW w:w="1584" w:type="dxa"/>
            <w:shd w:val="clear" w:color="auto" w:fill="1B365D"/>
            <w:tcMar>
              <w:top w:w="120" w:type="dxa"/>
              <w:left w:w="140" w:type="dxa"/>
              <w:bottom w:w="120" w:type="dxa"/>
              <w:right w:w="140" w:type="dxa"/>
            </w:tcMar>
          </w:tcPr>
          <w:p w14:paraId="2CF45984" w14:textId="77777777" w:rsidR="00722E74" w:rsidRDefault="00000000">
            <w:pPr>
              <w:spacing w:after="0"/>
            </w:pPr>
            <w:r>
              <w:rPr>
                <w:rFonts w:ascii="Segoe UI" w:hAnsi="Segoe UI"/>
                <w:b/>
                <w:color w:val="FFFFFF"/>
                <w:sz w:val="19"/>
              </w:rPr>
              <w:t>Allocated Hours</w:t>
            </w:r>
          </w:p>
        </w:tc>
        <w:tc>
          <w:tcPr>
            <w:tcW w:w="2448" w:type="dxa"/>
            <w:shd w:val="clear" w:color="auto" w:fill="1B365D"/>
            <w:tcMar>
              <w:top w:w="120" w:type="dxa"/>
              <w:left w:w="140" w:type="dxa"/>
              <w:bottom w:w="120" w:type="dxa"/>
              <w:right w:w="140" w:type="dxa"/>
            </w:tcMar>
          </w:tcPr>
          <w:p w14:paraId="351AEC9A" w14:textId="77777777" w:rsidR="00722E74" w:rsidRDefault="00000000">
            <w:pPr>
              <w:spacing w:after="0"/>
            </w:pPr>
            <w:r>
              <w:rPr>
                <w:rFonts w:ascii="Segoe UI" w:hAnsi="Segoe UI"/>
                <w:b/>
                <w:color w:val="FFFFFF"/>
                <w:sz w:val="19"/>
              </w:rPr>
              <w:t>Key Deliverables</w:t>
            </w:r>
          </w:p>
        </w:tc>
      </w:tr>
      <w:tr w:rsidR="00722E74" w14:paraId="5C6AFD10" w14:textId="77777777">
        <w:trPr>
          <w:jc w:val="center"/>
        </w:trPr>
        <w:tc>
          <w:tcPr>
            <w:tcW w:w="2016" w:type="dxa"/>
            <w:shd w:val="clear" w:color="auto" w:fill="FFFFFF"/>
            <w:tcMar>
              <w:top w:w="100" w:type="dxa"/>
              <w:left w:w="140" w:type="dxa"/>
              <w:bottom w:w="100" w:type="dxa"/>
              <w:right w:w="140" w:type="dxa"/>
            </w:tcMar>
          </w:tcPr>
          <w:p w14:paraId="7340F021" w14:textId="77777777" w:rsidR="00722E74" w:rsidRDefault="00000000">
            <w:pPr>
              <w:spacing w:after="0" w:line="264" w:lineRule="auto"/>
            </w:pPr>
            <w:r>
              <w:rPr>
                <w:rFonts w:ascii="Calibri" w:hAnsi="Calibri"/>
                <w:color w:val="2C3E50"/>
                <w:sz w:val="19"/>
              </w:rPr>
              <w:t>Phase 1: Inception &amp; ETL</w:t>
            </w:r>
          </w:p>
        </w:tc>
        <w:tc>
          <w:tcPr>
            <w:tcW w:w="3312" w:type="dxa"/>
            <w:shd w:val="clear" w:color="auto" w:fill="FFFFFF"/>
            <w:tcMar>
              <w:top w:w="100" w:type="dxa"/>
              <w:left w:w="140" w:type="dxa"/>
              <w:bottom w:w="100" w:type="dxa"/>
              <w:right w:w="140" w:type="dxa"/>
            </w:tcMar>
          </w:tcPr>
          <w:p w14:paraId="1D4909FE" w14:textId="77777777" w:rsidR="00722E74" w:rsidRDefault="00000000">
            <w:pPr>
              <w:spacing w:after="0" w:line="264" w:lineRule="auto"/>
            </w:pPr>
            <w:r>
              <w:rPr>
                <w:rFonts w:ascii="Calibri" w:hAnsi="Calibri"/>
                <w:color w:val="2C3E50"/>
                <w:sz w:val="19"/>
              </w:rPr>
              <w:t>Define business KPIs; build SQL ingestion extractors; Great Expectations schema validation.</w:t>
            </w:r>
          </w:p>
        </w:tc>
        <w:tc>
          <w:tcPr>
            <w:tcW w:w="1584" w:type="dxa"/>
            <w:shd w:val="clear" w:color="auto" w:fill="FFFFFF"/>
            <w:tcMar>
              <w:top w:w="100" w:type="dxa"/>
              <w:left w:w="140" w:type="dxa"/>
              <w:bottom w:w="100" w:type="dxa"/>
              <w:right w:w="140" w:type="dxa"/>
            </w:tcMar>
          </w:tcPr>
          <w:p w14:paraId="16110D3F" w14:textId="77777777" w:rsidR="00722E74" w:rsidRDefault="00000000">
            <w:pPr>
              <w:spacing w:after="0" w:line="264" w:lineRule="auto"/>
            </w:pPr>
            <w:r>
              <w:rPr>
                <w:rFonts w:ascii="Calibri" w:hAnsi="Calibri"/>
                <w:color w:val="2C3E50"/>
                <w:sz w:val="19"/>
              </w:rPr>
              <w:t>4 – 5 Hours</w:t>
            </w:r>
          </w:p>
        </w:tc>
        <w:tc>
          <w:tcPr>
            <w:tcW w:w="2448" w:type="dxa"/>
            <w:shd w:val="clear" w:color="auto" w:fill="FFFFFF"/>
            <w:tcMar>
              <w:top w:w="100" w:type="dxa"/>
              <w:left w:w="140" w:type="dxa"/>
              <w:bottom w:w="100" w:type="dxa"/>
              <w:right w:w="140" w:type="dxa"/>
            </w:tcMar>
          </w:tcPr>
          <w:p w14:paraId="2735F7AA" w14:textId="77777777" w:rsidR="00722E74" w:rsidRDefault="00000000">
            <w:pPr>
              <w:spacing w:after="0" w:line="264" w:lineRule="auto"/>
            </w:pPr>
            <w:r>
              <w:rPr>
                <w:rFonts w:ascii="Calibri" w:hAnsi="Calibri"/>
                <w:color w:val="2C3E50"/>
                <w:sz w:val="19"/>
              </w:rPr>
              <w:t>Cleaned data lake tables, schema specification, initial profiling report.</w:t>
            </w:r>
          </w:p>
        </w:tc>
      </w:tr>
      <w:tr w:rsidR="00722E74" w14:paraId="22B5AC9E" w14:textId="77777777">
        <w:trPr>
          <w:jc w:val="center"/>
        </w:trPr>
        <w:tc>
          <w:tcPr>
            <w:tcW w:w="2016" w:type="dxa"/>
            <w:shd w:val="clear" w:color="auto" w:fill="F4F7FA"/>
            <w:tcMar>
              <w:top w:w="100" w:type="dxa"/>
              <w:left w:w="140" w:type="dxa"/>
              <w:bottom w:w="100" w:type="dxa"/>
              <w:right w:w="140" w:type="dxa"/>
            </w:tcMar>
          </w:tcPr>
          <w:p w14:paraId="0F7B3385" w14:textId="77777777" w:rsidR="00722E74" w:rsidRDefault="00000000">
            <w:pPr>
              <w:spacing w:after="0" w:line="264" w:lineRule="auto"/>
            </w:pPr>
            <w:r>
              <w:rPr>
                <w:rFonts w:ascii="Calibri" w:hAnsi="Calibri"/>
                <w:color w:val="2C3E50"/>
                <w:sz w:val="19"/>
              </w:rPr>
              <w:t>Phase 2: Preprocessing &amp; Features</w:t>
            </w:r>
          </w:p>
        </w:tc>
        <w:tc>
          <w:tcPr>
            <w:tcW w:w="3312" w:type="dxa"/>
            <w:shd w:val="clear" w:color="auto" w:fill="F4F7FA"/>
            <w:tcMar>
              <w:top w:w="100" w:type="dxa"/>
              <w:left w:w="140" w:type="dxa"/>
              <w:bottom w:w="100" w:type="dxa"/>
              <w:right w:w="140" w:type="dxa"/>
            </w:tcMar>
          </w:tcPr>
          <w:p w14:paraId="04742D97" w14:textId="77777777" w:rsidR="00722E74" w:rsidRDefault="00000000">
            <w:pPr>
              <w:spacing w:after="0" w:line="264" w:lineRule="auto"/>
            </w:pPr>
            <w:r>
              <w:rPr>
                <w:rFonts w:ascii="Calibri" w:hAnsi="Calibri"/>
                <w:color w:val="2C3E50"/>
                <w:sz w:val="19"/>
              </w:rPr>
              <w:t>Design scikit-learn Pipeline; imputations; Yeo-Johnson transforms; behavioral feature creation; SMOTE-NC.</w:t>
            </w:r>
          </w:p>
        </w:tc>
        <w:tc>
          <w:tcPr>
            <w:tcW w:w="1584" w:type="dxa"/>
            <w:shd w:val="clear" w:color="auto" w:fill="F4F7FA"/>
            <w:tcMar>
              <w:top w:w="100" w:type="dxa"/>
              <w:left w:w="140" w:type="dxa"/>
              <w:bottom w:w="100" w:type="dxa"/>
              <w:right w:w="140" w:type="dxa"/>
            </w:tcMar>
          </w:tcPr>
          <w:p w14:paraId="7805BD23" w14:textId="77777777" w:rsidR="00722E74" w:rsidRDefault="00000000">
            <w:pPr>
              <w:spacing w:after="0" w:line="264" w:lineRule="auto"/>
            </w:pPr>
            <w:r>
              <w:rPr>
                <w:rFonts w:ascii="Calibri" w:hAnsi="Calibri"/>
                <w:color w:val="2C3E50"/>
                <w:sz w:val="19"/>
              </w:rPr>
              <w:t>6 – 7 Hours</w:t>
            </w:r>
          </w:p>
        </w:tc>
        <w:tc>
          <w:tcPr>
            <w:tcW w:w="2448" w:type="dxa"/>
            <w:shd w:val="clear" w:color="auto" w:fill="F4F7FA"/>
            <w:tcMar>
              <w:top w:w="100" w:type="dxa"/>
              <w:left w:w="140" w:type="dxa"/>
              <w:bottom w:w="100" w:type="dxa"/>
              <w:right w:w="140" w:type="dxa"/>
            </w:tcMar>
          </w:tcPr>
          <w:p w14:paraId="0F35EC44" w14:textId="77777777" w:rsidR="00722E74" w:rsidRDefault="00000000">
            <w:pPr>
              <w:spacing w:after="0" w:line="264" w:lineRule="auto"/>
            </w:pPr>
            <w:r>
              <w:rPr>
                <w:rFonts w:ascii="Calibri" w:hAnsi="Calibri"/>
                <w:color w:val="2C3E50"/>
                <w:sz w:val="19"/>
              </w:rPr>
              <w:t>Reusable preprocessing pipeline artifact, engineered feature store.</w:t>
            </w:r>
          </w:p>
        </w:tc>
      </w:tr>
      <w:tr w:rsidR="00722E74" w14:paraId="60B66A0F" w14:textId="77777777">
        <w:trPr>
          <w:jc w:val="center"/>
        </w:trPr>
        <w:tc>
          <w:tcPr>
            <w:tcW w:w="2016" w:type="dxa"/>
            <w:shd w:val="clear" w:color="auto" w:fill="FFFFFF"/>
            <w:tcMar>
              <w:top w:w="100" w:type="dxa"/>
              <w:left w:w="140" w:type="dxa"/>
              <w:bottom w:w="100" w:type="dxa"/>
              <w:right w:w="140" w:type="dxa"/>
            </w:tcMar>
          </w:tcPr>
          <w:p w14:paraId="2EAC00EB" w14:textId="77777777" w:rsidR="00722E74" w:rsidRDefault="00000000">
            <w:pPr>
              <w:spacing w:after="0" w:line="264" w:lineRule="auto"/>
            </w:pPr>
            <w:r>
              <w:rPr>
                <w:rFonts w:ascii="Calibri" w:hAnsi="Calibri"/>
                <w:color w:val="2C3E50"/>
                <w:sz w:val="19"/>
              </w:rPr>
              <w:t>Phase 3: Model Benchmarking</w:t>
            </w:r>
          </w:p>
        </w:tc>
        <w:tc>
          <w:tcPr>
            <w:tcW w:w="3312" w:type="dxa"/>
            <w:shd w:val="clear" w:color="auto" w:fill="FFFFFF"/>
            <w:tcMar>
              <w:top w:w="100" w:type="dxa"/>
              <w:left w:w="140" w:type="dxa"/>
              <w:bottom w:w="100" w:type="dxa"/>
              <w:right w:w="140" w:type="dxa"/>
            </w:tcMar>
          </w:tcPr>
          <w:p w14:paraId="17ABF0D8" w14:textId="77777777" w:rsidR="00722E74" w:rsidRDefault="00000000">
            <w:pPr>
              <w:spacing w:after="0" w:line="264" w:lineRule="auto"/>
            </w:pPr>
            <w:r>
              <w:rPr>
                <w:rFonts w:ascii="Calibri" w:hAnsi="Calibri"/>
                <w:color w:val="2C3E50"/>
                <w:sz w:val="19"/>
              </w:rPr>
              <w:t>Implement baseline Logistic Regression, Random Forest, LightGBM, CatBoost, TabNet in Python.</w:t>
            </w:r>
          </w:p>
        </w:tc>
        <w:tc>
          <w:tcPr>
            <w:tcW w:w="1584" w:type="dxa"/>
            <w:shd w:val="clear" w:color="auto" w:fill="FFFFFF"/>
            <w:tcMar>
              <w:top w:w="100" w:type="dxa"/>
              <w:left w:w="140" w:type="dxa"/>
              <w:bottom w:w="100" w:type="dxa"/>
              <w:right w:w="140" w:type="dxa"/>
            </w:tcMar>
          </w:tcPr>
          <w:p w14:paraId="3A434E29" w14:textId="77777777" w:rsidR="00722E74" w:rsidRDefault="00000000">
            <w:pPr>
              <w:spacing w:after="0" w:line="264" w:lineRule="auto"/>
            </w:pPr>
            <w:r>
              <w:rPr>
                <w:rFonts w:ascii="Calibri" w:hAnsi="Calibri"/>
                <w:color w:val="2C3E50"/>
                <w:sz w:val="19"/>
              </w:rPr>
              <w:t>6 – 7 Hours</w:t>
            </w:r>
          </w:p>
        </w:tc>
        <w:tc>
          <w:tcPr>
            <w:tcW w:w="2448" w:type="dxa"/>
            <w:shd w:val="clear" w:color="auto" w:fill="FFFFFF"/>
            <w:tcMar>
              <w:top w:w="100" w:type="dxa"/>
              <w:left w:w="140" w:type="dxa"/>
              <w:bottom w:w="100" w:type="dxa"/>
              <w:right w:w="140" w:type="dxa"/>
            </w:tcMar>
          </w:tcPr>
          <w:p w14:paraId="431A3D82" w14:textId="77777777" w:rsidR="00722E74" w:rsidRDefault="00000000">
            <w:pPr>
              <w:spacing w:after="0" w:line="264" w:lineRule="auto"/>
            </w:pPr>
            <w:r>
              <w:rPr>
                <w:rFonts w:ascii="Calibri" w:hAnsi="Calibri"/>
                <w:color w:val="2C3E50"/>
                <w:sz w:val="19"/>
              </w:rPr>
              <w:t>Candidate model benchmark results table, initial loss curves.</w:t>
            </w:r>
          </w:p>
        </w:tc>
      </w:tr>
      <w:tr w:rsidR="00722E74" w14:paraId="68C95EB9" w14:textId="77777777">
        <w:trPr>
          <w:jc w:val="center"/>
        </w:trPr>
        <w:tc>
          <w:tcPr>
            <w:tcW w:w="2016" w:type="dxa"/>
            <w:shd w:val="clear" w:color="auto" w:fill="F4F7FA"/>
            <w:tcMar>
              <w:top w:w="100" w:type="dxa"/>
              <w:left w:w="140" w:type="dxa"/>
              <w:bottom w:w="100" w:type="dxa"/>
              <w:right w:w="140" w:type="dxa"/>
            </w:tcMar>
          </w:tcPr>
          <w:p w14:paraId="510FA660" w14:textId="77777777" w:rsidR="00722E74" w:rsidRDefault="00000000">
            <w:pPr>
              <w:spacing w:after="0" w:line="264" w:lineRule="auto"/>
            </w:pPr>
            <w:r>
              <w:rPr>
                <w:rFonts w:ascii="Calibri" w:hAnsi="Calibri"/>
                <w:color w:val="2C3E50"/>
                <w:sz w:val="19"/>
              </w:rPr>
              <w:t>Phase 4: HPO &amp; Nested CV</w:t>
            </w:r>
          </w:p>
        </w:tc>
        <w:tc>
          <w:tcPr>
            <w:tcW w:w="3312" w:type="dxa"/>
            <w:shd w:val="clear" w:color="auto" w:fill="F4F7FA"/>
            <w:tcMar>
              <w:top w:w="100" w:type="dxa"/>
              <w:left w:w="140" w:type="dxa"/>
              <w:bottom w:w="100" w:type="dxa"/>
              <w:right w:w="140" w:type="dxa"/>
            </w:tcMar>
          </w:tcPr>
          <w:p w14:paraId="606EA46A" w14:textId="77777777" w:rsidR="00722E74" w:rsidRDefault="00000000">
            <w:pPr>
              <w:spacing w:after="0" w:line="264" w:lineRule="auto"/>
            </w:pPr>
            <w:r>
              <w:rPr>
                <w:rFonts w:ascii="Calibri" w:hAnsi="Calibri"/>
                <w:color w:val="2C3E50"/>
                <w:sz w:val="19"/>
              </w:rPr>
              <w:t>Setup Optuna Bayesian study (150 trials); Nested 5-fold CV; Cost-benefit utility curve thresholding.</w:t>
            </w:r>
          </w:p>
        </w:tc>
        <w:tc>
          <w:tcPr>
            <w:tcW w:w="1584" w:type="dxa"/>
            <w:shd w:val="clear" w:color="auto" w:fill="F4F7FA"/>
            <w:tcMar>
              <w:top w:w="100" w:type="dxa"/>
              <w:left w:w="140" w:type="dxa"/>
              <w:bottom w:w="100" w:type="dxa"/>
              <w:right w:w="140" w:type="dxa"/>
            </w:tcMar>
          </w:tcPr>
          <w:p w14:paraId="0FA653CC" w14:textId="77777777" w:rsidR="00722E74" w:rsidRDefault="00000000">
            <w:pPr>
              <w:spacing w:after="0" w:line="264" w:lineRule="auto"/>
            </w:pPr>
            <w:r>
              <w:rPr>
                <w:rFonts w:ascii="Calibri" w:hAnsi="Calibri"/>
                <w:color w:val="2C3E50"/>
                <w:sz w:val="19"/>
              </w:rPr>
              <w:t>6 – 7 Hours</w:t>
            </w:r>
          </w:p>
        </w:tc>
        <w:tc>
          <w:tcPr>
            <w:tcW w:w="2448" w:type="dxa"/>
            <w:shd w:val="clear" w:color="auto" w:fill="F4F7FA"/>
            <w:tcMar>
              <w:top w:w="100" w:type="dxa"/>
              <w:left w:w="140" w:type="dxa"/>
              <w:bottom w:w="100" w:type="dxa"/>
              <w:right w:w="140" w:type="dxa"/>
            </w:tcMar>
          </w:tcPr>
          <w:p w14:paraId="7AE9720D" w14:textId="77777777" w:rsidR="00722E74" w:rsidRDefault="00000000">
            <w:pPr>
              <w:spacing w:after="0" w:line="264" w:lineRule="auto"/>
            </w:pPr>
            <w:r>
              <w:rPr>
                <w:rFonts w:ascii="Calibri" w:hAnsi="Calibri"/>
                <w:color w:val="2C3E50"/>
                <w:sz w:val="19"/>
              </w:rPr>
              <w:t>Optimized champion weights, hyperparameter convergence plots, utility curve.</w:t>
            </w:r>
          </w:p>
        </w:tc>
      </w:tr>
      <w:tr w:rsidR="00722E74" w14:paraId="66522589" w14:textId="77777777">
        <w:trPr>
          <w:jc w:val="center"/>
        </w:trPr>
        <w:tc>
          <w:tcPr>
            <w:tcW w:w="2016" w:type="dxa"/>
            <w:shd w:val="clear" w:color="auto" w:fill="FFFFFF"/>
            <w:tcMar>
              <w:top w:w="100" w:type="dxa"/>
              <w:left w:w="140" w:type="dxa"/>
              <w:bottom w:w="100" w:type="dxa"/>
              <w:right w:w="140" w:type="dxa"/>
            </w:tcMar>
          </w:tcPr>
          <w:p w14:paraId="1043BEBE" w14:textId="77777777" w:rsidR="00722E74" w:rsidRDefault="00000000">
            <w:pPr>
              <w:spacing w:after="0" w:line="264" w:lineRule="auto"/>
            </w:pPr>
            <w:r>
              <w:rPr>
                <w:rFonts w:ascii="Calibri" w:hAnsi="Calibri"/>
                <w:color w:val="2C3E50"/>
                <w:sz w:val="19"/>
              </w:rPr>
              <w:t>Phase 5: Explainability &amp; Governance</w:t>
            </w:r>
          </w:p>
        </w:tc>
        <w:tc>
          <w:tcPr>
            <w:tcW w:w="3312" w:type="dxa"/>
            <w:shd w:val="clear" w:color="auto" w:fill="FFFFFF"/>
            <w:tcMar>
              <w:top w:w="100" w:type="dxa"/>
              <w:left w:w="140" w:type="dxa"/>
              <w:bottom w:w="100" w:type="dxa"/>
              <w:right w:w="140" w:type="dxa"/>
            </w:tcMar>
          </w:tcPr>
          <w:p w14:paraId="11F94935" w14:textId="77777777" w:rsidR="00722E74" w:rsidRDefault="00000000">
            <w:pPr>
              <w:spacing w:after="0" w:line="264" w:lineRule="auto"/>
            </w:pPr>
            <w:r>
              <w:rPr>
                <w:rFonts w:ascii="Calibri" w:hAnsi="Calibri"/>
                <w:color w:val="2C3E50"/>
                <w:sz w:val="19"/>
              </w:rPr>
              <w:t>Generate TreeSHAP summary, waterfall, and dependence plots; fairness audit; documentation.</w:t>
            </w:r>
          </w:p>
        </w:tc>
        <w:tc>
          <w:tcPr>
            <w:tcW w:w="1584" w:type="dxa"/>
            <w:shd w:val="clear" w:color="auto" w:fill="FFFFFF"/>
            <w:tcMar>
              <w:top w:w="100" w:type="dxa"/>
              <w:left w:w="140" w:type="dxa"/>
              <w:bottom w:w="100" w:type="dxa"/>
              <w:right w:w="140" w:type="dxa"/>
            </w:tcMar>
          </w:tcPr>
          <w:p w14:paraId="237A22FD" w14:textId="77777777" w:rsidR="00722E74" w:rsidRDefault="00000000">
            <w:pPr>
              <w:spacing w:after="0" w:line="264" w:lineRule="auto"/>
            </w:pPr>
            <w:r>
              <w:rPr>
                <w:rFonts w:ascii="Calibri" w:hAnsi="Calibri"/>
                <w:color w:val="2C3E50"/>
                <w:sz w:val="19"/>
              </w:rPr>
              <w:t>3 – 4 Hours</w:t>
            </w:r>
          </w:p>
        </w:tc>
        <w:tc>
          <w:tcPr>
            <w:tcW w:w="2448" w:type="dxa"/>
            <w:shd w:val="clear" w:color="auto" w:fill="FFFFFF"/>
            <w:tcMar>
              <w:top w:w="100" w:type="dxa"/>
              <w:left w:w="140" w:type="dxa"/>
              <w:bottom w:w="100" w:type="dxa"/>
              <w:right w:w="140" w:type="dxa"/>
            </w:tcMar>
          </w:tcPr>
          <w:p w14:paraId="1F9D083F" w14:textId="77777777" w:rsidR="00722E74" w:rsidRDefault="00000000">
            <w:pPr>
              <w:spacing w:after="0" w:line="264" w:lineRule="auto"/>
            </w:pPr>
            <w:r>
              <w:rPr>
                <w:rFonts w:ascii="Calibri" w:hAnsi="Calibri"/>
                <w:color w:val="2C3E50"/>
                <w:sz w:val="19"/>
              </w:rPr>
              <w:t>Explainability dashboard module, algorithmic fairness audit report.</w:t>
            </w:r>
          </w:p>
        </w:tc>
      </w:tr>
      <w:tr w:rsidR="00722E74" w14:paraId="5119ED8E" w14:textId="77777777">
        <w:trPr>
          <w:jc w:val="center"/>
        </w:trPr>
        <w:tc>
          <w:tcPr>
            <w:tcW w:w="2016" w:type="dxa"/>
            <w:shd w:val="clear" w:color="auto" w:fill="F4F7FA"/>
            <w:tcMar>
              <w:top w:w="100" w:type="dxa"/>
              <w:left w:w="140" w:type="dxa"/>
              <w:bottom w:w="100" w:type="dxa"/>
              <w:right w:w="140" w:type="dxa"/>
            </w:tcMar>
          </w:tcPr>
          <w:p w14:paraId="7876F200" w14:textId="77777777" w:rsidR="00722E74" w:rsidRDefault="00000000">
            <w:pPr>
              <w:spacing w:after="0" w:line="264" w:lineRule="auto"/>
            </w:pPr>
            <w:r>
              <w:rPr>
                <w:rFonts w:ascii="Calibri" w:hAnsi="Calibri"/>
                <w:color w:val="2C3E50"/>
                <w:sz w:val="19"/>
              </w:rPr>
              <w:t>Phase 6: Deployment &amp; MLOps</w:t>
            </w:r>
          </w:p>
        </w:tc>
        <w:tc>
          <w:tcPr>
            <w:tcW w:w="3312" w:type="dxa"/>
            <w:shd w:val="clear" w:color="auto" w:fill="F4F7FA"/>
            <w:tcMar>
              <w:top w:w="100" w:type="dxa"/>
              <w:left w:w="140" w:type="dxa"/>
              <w:bottom w:w="100" w:type="dxa"/>
              <w:right w:w="140" w:type="dxa"/>
            </w:tcMar>
          </w:tcPr>
          <w:p w14:paraId="062EE629" w14:textId="77777777" w:rsidR="00722E74" w:rsidRDefault="00000000">
            <w:pPr>
              <w:spacing w:after="0" w:line="264" w:lineRule="auto"/>
            </w:pPr>
            <w:r>
              <w:rPr>
                <w:rFonts w:ascii="Calibri" w:hAnsi="Calibri"/>
                <w:color w:val="2C3E50"/>
                <w:sz w:val="19"/>
              </w:rPr>
              <w:t>Build FastAPI microservice; Dockerfile containerization; setup Evidently drift monitors and Airflow DAGs.</w:t>
            </w:r>
          </w:p>
        </w:tc>
        <w:tc>
          <w:tcPr>
            <w:tcW w:w="1584" w:type="dxa"/>
            <w:shd w:val="clear" w:color="auto" w:fill="F4F7FA"/>
            <w:tcMar>
              <w:top w:w="100" w:type="dxa"/>
              <w:left w:w="140" w:type="dxa"/>
              <w:bottom w:w="100" w:type="dxa"/>
              <w:right w:w="140" w:type="dxa"/>
            </w:tcMar>
          </w:tcPr>
          <w:p w14:paraId="5040659F" w14:textId="77777777" w:rsidR="00722E74" w:rsidRDefault="00000000">
            <w:pPr>
              <w:spacing w:after="0" w:line="264" w:lineRule="auto"/>
            </w:pPr>
            <w:r>
              <w:rPr>
                <w:rFonts w:ascii="Calibri" w:hAnsi="Calibri"/>
                <w:color w:val="2C3E50"/>
                <w:sz w:val="19"/>
              </w:rPr>
              <w:t>5 – 6 Hours</w:t>
            </w:r>
          </w:p>
        </w:tc>
        <w:tc>
          <w:tcPr>
            <w:tcW w:w="2448" w:type="dxa"/>
            <w:shd w:val="clear" w:color="auto" w:fill="F4F7FA"/>
            <w:tcMar>
              <w:top w:w="100" w:type="dxa"/>
              <w:left w:w="140" w:type="dxa"/>
              <w:bottom w:w="100" w:type="dxa"/>
              <w:right w:w="140" w:type="dxa"/>
            </w:tcMar>
          </w:tcPr>
          <w:p w14:paraId="51875D7A" w14:textId="77777777" w:rsidR="00722E74" w:rsidRDefault="00000000">
            <w:pPr>
              <w:spacing w:after="0" w:line="264" w:lineRule="auto"/>
            </w:pPr>
            <w:r>
              <w:rPr>
                <w:rFonts w:ascii="Calibri" w:hAnsi="Calibri"/>
                <w:color w:val="2C3E50"/>
                <w:sz w:val="19"/>
              </w:rPr>
              <w:t>Working Docker container, REST API endpoints, CI/CD pipeline, MLOps runbook.</w:t>
            </w:r>
          </w:p>
        </w:tc>
      </w:tr>
      <w:tr w:rsidR="00722E74" w14:paraId="46B322F8" w14:textId="77777777">
        <w:trPr>
          <w:jc w:val="center"/>
        </w:trPr>
        <w:tc>
          <w:tcPr>
            <w:tcW w:w="2016" w:type="dxa"/>
            <w:shd w:val="clear" w:color="auto" w:fill="FFFFFF"/>
            <w:tcMar>
              <w:top w:w="100" w:type="dxa"/>
              <w:left w:w="140" w:type="dxa"/>
              <w:bottom w:w="100" w:type="dxa"/>
              <w:right w:w="140" w:type="dxa"/>
            </w:tcMar>
          </w:tcPr>
          <w:p w14:paraId="6ABB516D" w14:textId="77777777" w:rsidR="00722E74" w:rsidRDefault="00000000">
            <w:pPr>
              <w:spacing w:after="0" w:line="264" w:lineRule="auto"/>
            </w:pPr>
            <w:r>
              <w:rPr>
                <w:rFonts w:ascii="Calibri" w:hAnsi="Calibri"/>
                <w:color w:val="2C3E50"/>
                <w:sz w:val="19"/>
              </w:rPr>
              <w:t>Total Workload</w:t>
            </w:r>
          </w:p>
        </w:tc>
        <w:tc>
          <w:tcPr>
            <w:tcW w:w="3312" w:type="dxa"/>
            <w:shd w:val="clear" w:color="auto" w:fill="FFFFFF"/>
            <w:tcMar>
              <w:top w:w="100" w:type="dxa"/>
              <w:left w:w="140" w:type="dxa"/>
              <w:bottom w:w="100" w:type="dxa"/>
              <w:right w:w="140" w:type="dxa"/>
            </w:tcMar>
          </w:tcPr>
          <w:p w14:paraId="2F2FB191" w14:textId="77777777" w:rsidR="00722E74" w:rsidRDefault="00000000">
            <w:pPr>
              <w:spacing w:after="0" w:line="264" w:lineRule="auto"/>
            </w:pPr>
            <w:r>
              <w:rPr>
                <w:rFonts w:ascii="Calibri" w:hAnsi="Calibri"/>
                <w:color w:val="2C3E50"/>
                <w:sz w:val="19"/>
              </w:rPr>
              <w:t>Full End-to-End Enterprise Implementation</w:t>
            </w:r>
          </w:p>
        </w:tc>
        <w:tc>
          <w:tcPr>
            <w:tcW w:w="1584" w:type="dxa"/>
            <w:shd w:val="clear" w:color="auto" w:fill="FFFFFF"/>
            <w:tcMar>
              <w:top w:w="100" w:type="dxa"/>
              <w:left w:w="140" w:type="dxa"/>
              <w:bottom w:w="100" w:type="dxa"/>
              <w:right w:w="140" w:type="dxa"/>
            </w:tcMar>
          </w:tcPr>
          <w:p w14:paraId="53BBE1E3" w14:textId="77777777" w:rsidR="00722E74" w:rsidRDefault="00000000">
            <w:pPr>
              <w:spacing w:after="0" w:line="264" w:lineRule="auto"/>
            </w:pPr>
            <w:r>
              <w:rPr>
                <w:rFonts w:ascii="Calibri" w:hAnsi="Calibri"/>
                <w:color w:val="2C3E50"/>
                <w:sz w:val="19"/>
              </w:rPr>
              <w:t>30 – 35 Hours</w:t>
            </w:r>
          </w:p>
        </w:tc>
        <w:tc>
          <w:tcPr>
            <w:tcW w:w="2448" w:type="dxa"/>
            <w:shd w:val="clear" w:color="auto" w:fill="FFFFFF"/>
            <w:tcMar>
              <w:top w:w="100" w:type="dxa"/>
              <w:left w:w="140" w:type="dxa"/>
              <w:bottom w:w="100" w:type="dxa"/>
              <w:right w:w="140" w:type="dxa"/>
            </w:tcMar>
          </w:tcPr>
          <w:p w14:paraId="69D5B5FA" w14:textId="77777777" w:rsidR="00722E74" w:rsidRDefault="00000000">
            <w:pPr>
              <w:spacing w:after="0" w:line="264" w:lineRule="auto"/>
            </w:pPr>
            <w:r>
              <w:rPr>
                <w:rFonts w:ascii="Calibri" w:hAnsi="Calibri"/>
                <w:color w:val="2C3E50"/>
                <w:sz w:val="19"/>
              </w:rPr>
              <w:t>Production-Ready ML Model Package &amp; Documentation</w:t>
            </w:r>
          </w:p>
        </w:tc>
      </w:tr>
    </w:tbl>
    <w:p w14:paraId="61515431" w14:textId="77777777" w:rsidR="00722E74" w:rsidRDefault="00722E74">
      <w:pPr>
        <w:spacing w:after="120"/>
      </w:pPr>
    </w:p>
    <w:p w14:paraId="0817BC50" w14:textId="77777777" w:rsidR="00722E74" w:rsidRDefault="00000000">
      <w:pPr>
        <w:keepNext/>
        <w:spacing w:before="320" w:after="120"/>
      </w:pPr>
      <w:r>
        <w:rPr>
          <w:rFonts w:ascii="Segoe UI" w:hAnsi="Segoe UI"/>
          <w:b/>
          <w:color w:val="1B365D"/>
          <w:sz w:val="32"/>
        </w:rPr>
        <w:t>8. Conclusion &amp; Implementation Checklist</w:t>
      </w:r>
    </w:p>
    <w:p w14:paraId="119FFABE" w14:textId="77777777" w:rsidR="00722E74" w:rsidRDefault="00000000">
      <w:pPr>
        <w:spacing w:after="120"/>
      </w:pPr>
      <w:r>
        <w:rPr>
          <w:rFonts w:ascii="Calibri" w:hAnsi="Calibri"/>
          <w:color w:val="2C3E50"/>
          <w:sz w:val="21"/>
        </w:rPr>
        <w:t>This plan establishes a mathematically sound, reproducible, and commercially impactful blueprint for developing and deploying a machine learning churn prediction engine. By adhering to strict train-test isolation, Bayesian optimization, cost-weighted threshold calibration, and continuous MLOps monitoring, the organization ensures robust model generalization and significant revenue preservation.</w:t>
      </w:r>
    </w:p>
    <w:tbl>
      <w:tblPr>
        <w:tblW w:w="0" w:type="auto"/>
        <w:jc w:val="center"/>
        <w:tblLook w:val="04A0" w:firstRow="1" w:lastRow="0" w:firstColumn="1" w:lastColumn="0" w:noHBand="0" w:noVBand="1"/>
      </w:tblPr>
      <w:tblGrid>
        <w:gridCol w:w="9360"/>
      </w:tblGrid>
      <w:tr w:rsidR="00722E74" w14:paraId="103FC9DA" w14:textId="77777777">
        <w:trPr>
          <w:jc w:val="center"/>
        </w:trPr>
        <w:tc>
          <w:tcPr>
            <w:tcW w:w="9360" w:type="dxa"/>
            <w:tcBorders>
              <w:left w:val="single" w:sz="24" w:space="0" w:color="1B365D"/>
            </w:tcBorders>
            <w:shd w:val="clear" w:color="auto" w:fill="EEF4F8"/>
            <w:tcMar>
              <w:top w:w="140" w:type="dxa"/>
              <w:left w:w="180" w:type="dxa"/>
              <w:bottom w:w="140" w:type="dxa"/>
              <w:right w:w="180" w:type="dxa"/>
            </w:tcMar>
          </w:tcPr>
          <w:p w14:paraId="41630EE9" w14:textId="77777777" w:rsidR="00722E74" w:rsidRDefault="00000000">
            <w:pPr>
              <w:spacing w:after="40"/>
            </w:pPr>
            <w:r>
              <w:rPr>
                <w:rFonts w:ascii="Segoe UI" w:hAnsi="Segoe UI"/>
                <w:b/>
                <w:color w:val="1B365D"/>
                <w:sz w:val="21"/>
              </w:rPr>
              <w:t>Phase-Wise Execution Checklist</w:t>
            </w:r>
            <w:r>
              <w:rPr>
                <w:rFonts w:ascii="Segoe UI" w:hAnsi="Segoe UI"/>
                <w:b/>
                <w:color w:val="1B365D"/>
                <w:sz w:val="21"/>
              </w:rPr>
              <w:br/>
            </w:r>
            <w:r>
              <w:rPr>
                <w:rFonts w:ascii="Calibri" w:hAnsi="Calibri"/>
                <w:color w:val="2C3E50"/>
                <w:sz w:val="20"/>
              </w:rPr>
              <w:t>✓ Problem formulation with concrete financial utility functions.</w:t>
            </w:r>
            <w:r>
              <w:rPr>
                <w:rFonts w:ascii="Calibri" w:hAnsi="Calibri"/>
                <w:color w:val="2C3E50"/>
                <w:sz w:val="20"/>
              </w:rPr>
              <w:br/>
              <w:t>✓ Zero-leakage scikit-learn preprocessing and feature engineering pipeline.</w:t>
            </w:r>
            <w:r>
              <w:rPr>
                <w:rFonts w:ascii="Calibri" w:hAnsi="Calibri"/>
                <w:color w:val="2C3E50"/>
                <w:sz w:val="20"/>
              </w:rPr>
              <w:br/>
              <w:t>✓ Candidate benchmarking across linear, ensemble, and boosted architectures.</w:t>
            </w:r>
            <w:r>
              <w:rPr>
                <w:rFonts w:ascii="Calibri" w:hAnsi="Calibri"/>
                <w:color w:val="2C3E50"/>
                <w:sz w:val="20"/>
              </w:rPr>
              <w:br/>
              <w:t>✓ Optuna Bayesian hyperparameter optimization with median pruning.</w:t>
            </w:r>
            <w:r>
              <w:rPr>
                <w:rFonts w:ascii="Calibri" w:hAnsi="Calibri"/>
                <w:color w:val="2C3E50"/>
                <w:sz w:val="20"/>
              </w:rPr>
              <w:br/>
              <w:t>✓ Stratified Nested K-Fold Cross-Validation with temporal holdout verification.</w:t>
            </w:r>
            <w:r>
              <w:rPr>
                <w:rFonts w:ascii="Calibri" w:hAnsi="Calibri"/>
                <w:color w:val="2C3E50"/>
                <w:sz w:val="20"/>
              </w:rPr>
              <w:br/>
              <w:t>✓ Multidimensional evaluation (PR-AUC, Recall@20, F2-Score, Brier Calibration).</w:t>
            </w:r>
            <w:r>
              <w:rPr>
                <w:rFonts w:ascii="Calibri" w:hAnsi="Calibri"/>
                <w:color w:val="2C3E50"/>
                <w:sz w:val="20"/>
              </w:rPr>
              <w:br/>
              <w:t>✓ Local and Global TreeSHAP interpretability and fairness audits.</w:t>
            </w:r>
            <w:r>
              <w:rPr>
                <w:rFonts w:ascii="Calibri" w:hAnsi="Calibri"/>
                <w:color w:val="2C3E50"/>
                <w:sz w:val="20"/>
              </w:rPr>
              <w:br/>
              <w:t>✓ Containerized FastAPI serving architecture with sub-25ms response time.</w:t>
            </w:r>
            <w:r>
              <w:rPr>
                <w:rFonts w:ascii="Calibri" w:hAnsi="Calibri"/>
                <w:color w:val="2C3E50"/>
                <w:sz w:val="20"/>
              </w:rPr>
              <w:br/>
              <w:t>✓ Continuous drift detection (PSI / KS) and automated CI/CD/CT retraining loops.</w:t>
            </w:r>
          </w:p>
        </w:tc>
      </w:tr>
    </w:tbl>
    <w:p w14:paraId="7A2F756D" w14:textId="77777777" w:rsidR="00722E74" w:rsidRDefault="00722E74">
      <w:pPr>
        <w:spacing w:after="120"/>
      </w:pPr>
    </w:p>
    <w:sectPr w:rsidR="00722E74" w:rsidSect="0003461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A8B7C" w14:textId="77777777" w:rsidR="00A14A4D" w:rsidRDefault="00A14A4D">
      <w:pPr>
        <w:spacing w:after="0" w:line="240" w:lineRule="auto"/>
      </w:pPr>
      <w:r>
        <w:separator/>
      </w:r>
    </w:p>
  </w:endnote>
  <w:endnote w:type="continuationSeparator" w:id="0">
    <w:p w14:paraId="18127A01" w14:textId="77777777" w:rsidR="00A14A4D" w:rsidRDefault="00A14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BED87" w14:textId="77777777" w:rsidR="00722E74" w:rsidRDefault="00000000">
    <w:pPr>
      <w:pStyle w:val="Footer"/>
      <w:jc w:val="center"/>
    </w:pPr>
    <w:r>
      <w:rPr>
        <w:rFonts w:ascii="Calibri" w:hAnsi="Calibri"/>
        <w:color w:val="646E78"/>
        <w:sz w:val="17"/>
      </w:rPr>
      <w:t>Confidential &amp; Proprietary — Python-Based Machine Learning Architecture Blueprint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A5FAC" w14:textId="77777777" w:rsidR="00A14A4D" w:rsidRDefault="00A14A4D">
      <w:pPr>
        <w:spacing w:after="0" w:line="240" w:lineRule="auto"/>
      </w:pPr>
      <w:r>
        <w:separator/>
      </w:r>
    </w:p>
  </w:footnote>
  <w:footnote w:type="continuationSeparator" w:id="0">
    <w:p w14:paraId="291A489B" w14:textId="77777777" w:rsidR="00A14A4D" w:rsidRDefault="00A14A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AFB9" w14:textId="77777777" w:rsidR="00722E74" w:rsidRDefault="00000000">
    <w:pPr>
      <w:pStyle w:val="Header"/>
      <w:jc w:val="right"/>
    </w:pPr>
    <w:r>
      <w:rPr>
        <w:rFonts w:ascii="Calibri" w:hAnsi="Calibri"/>
        <w:color w:val="646E78"/>
        <w:sz w:val="17"/>
      </w:rPr>
      <w:t>Virtual Data Science Explorer Intern | Week 3: ML Model Development &amp; Evaluation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9100250">
    <w:abstractNumId w:val="8"/>
  </w:num>
  <w:num w:numId="2" w16cid:durableId="1255019659">
    <w:abstractNumId w:val="6"/>
  </w:num>
  <w:num w:numId="3" w16cid:durableId="229850594">
    <w:abstractNumId w:val="5"/>
  </w:num>
  <w:num w:numId="4" w16cid:durableId="603880900">
    <w:abstractNumId w:val="4"/>
  </w:num>
  <w:num w:numId="5" w16cid:durableId="1378358625">
    <w:abstractNumId w:val="7"/>
  </w:num>
  <w:num w:numId="6" w16cid:durableId="1230532460">
    <w:abstractNumId w:val="3"/>
  </w:num>
  <w:num w:numId="7" w16cid:durableId="247665767">
    <w:abstractNumId w:val="2"/>
  </w:num>
  <w:num w:numId="8" w16cid:durableId="240720164">
    <w:abstractNumId w:val="1"/>
  </w:num>
  <w:num w:numId="9" w16cid:durableId="1552307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2E74"/>
    <w:rsid w:val="00A14A4D"/>
    <w:rsid w:val="00AA1D8D"/>
    <w:rsid w:val="00B47730"/>
    <w:rsid w:val="00BF0A0A"/>
    <w:rsid w:val="00CB0664"/>
    <w:rsid w:val="00FC693F"/>
    <w:rsid w:val="00FD076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64D58"/>
  <w14:defaultImageDpi w14:val="300"/>
  <w15:docId w15:val="{8EF86CED-1D9D-4626-AEF0-B6CCA899D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3399</Words>
  <Characters>19376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dc:creator>
  <cp:keywords/>
  <dc:description/>
  <cp:lastModifiedBy>Aryan Kumar</cp:lastModifiedBy>
  <cp:revision>2</cp:revision>
  <dcterms:created xsi:type="dcterms:W3CDTF">2013-12-23T23:15:00Z</dcterms:created>
  <dcterms:modified xsi:type="dcterms:W3CDTF">2026-08-18T14:02:00Z</dcterms:modified>
  <cp:category/>
</cp:coreProperties>
</file>