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1A365D"/>
          <w:sz w:val="40"/>
        </w:rPr>
        <w:t>WEEK 1 TECHNICAL REPORT</w:t>
        <w:br/>
        <w:t>DATA ACQUISITION, CLEANING, AND PREPROCESSING</w:t>
      </w:r>
    </w:p>
    <w:p>
      <w:pPr>
        <w:spacing w:before="40" w:after="240"/>
        <w:jc w:val="center"/>
      </w:pPr>
      <w:r>
        <w:rPr>
          <w:rFonts w:ascii="Calibri" w:hAnsi="Calibri"/>
          <w:i/>
          <w:color w:val="4A5568"/>
          <w:sz w:val="24"/>
        </w:rPr>
        <w:t>Virtual Data Science with Python Trainee Program | YuvaInternship</w:t>
      </w:r>
    </w:p>
    <w:tbl>
      <w:tblPr>
        <w:tblW w:type="auto" w:w="0"/>
        <w:jc w:val="center"/>
        <w:tblLook w:firstColumn="1" w:firstRow="1" w:lastColumn="0" w:lastRow="0" w:noHBand="0" w:noVBand="1" w:val="04A0"/>
      </w:tblPr>
      <w:tblGrid>
        <w:gridCol w:w="4968"/>
        <w:gridCol w:w="4968"/>
      </w:tblGrid>
      <w:tr>
        <w:tc>
          <w:tcPr>
            <w:tcW w:type="dxa" w:w="3168"/>
            <w:shd w:fill="EDF2F7"/>
            <w:tcMar>
              <w:top w:w="50" w:type="dxa"/>
              <w:bottom w:w="50" w:type="dxa"/>
              <w:left w:w="80" w:type="dxa"/>
              <w:right w:w="80" w:type="dxa"/>
            </w:tcMar>
          </w:tcPr>
          <w:p>
            <w:r>
              <w:rPr>
                <w:b/>
                <w:sz w:val="19"/>
              </w:rPr>
              <w:t>Trainee Name / Author</w:t>
            </w:r>
          </w:p>
        </w:tc>
        <w:tc>
          <w:tcPr>
            <w:tcW w:type="dxa" w:w="6192"/>
            <w:shd w:fill="FFFFFF"/>
            <w:tcMar>
              <w:top w:w="50" w:type="dxa"/>
              <w:bottom w:w="50" w:type="dxa"/>
              <w:left w:w="80" w:type="dxa"/>
              <w:right w:w="80" w:type="dxa"/>
            </w:tcMar>
          </w:tcPr>
          <w:p>
            <w:r>
              <w:rPr>
                <w:sz w:val="19"/>
              </w:rPr>
              <w:t>Aryan Kumar</w:t>
            </w:r>
          </w:p>
        </w:tc>
      </w:tr>
      <w:tr>
        <w:tc>
          <w:tcPr>
            <w:tcW w:type="dxa" w:w="3168"/>
            <w:shd w:fill="EDF2F7"/>
            <w:tcMar>
              <w:top w:w="50" w:type="dxa"/>
              <w:bottom w:w="50" w:type="dxa"/>
              <w:left w:w="80" w:type="dxa"/>
              <w:right w:w="80" w:type="dxa"/>
            </w:tcMar>
          </w:tcPr>
          <w:p>
            <w:r>
              <w:rPr>
                <w:b/>
                <w:sz w:val="19"/>
              </w:rPr>
              <w:t>Program / Role</w:t>
            </w:r>
          </w:p>
        </w:tc>
        <w:tc>
          <w:tcPr>
            <w:tcW w:type="dxa" w:w="6192"/>
            <w:shd w:fill="FFFFFF"/>
            <w:tcMar>
              <w:top w:w="50" w:type="dxa"/>
              <w:bottom w:w="50" w:type="dxa"/>
              <w:left w:w="80" w:type="dxa"/>
              <w:right w:w="80" w:type="dxa"/>
            </w:tcMar>
          </w:tcPr>
          <w:p>
            <w:r>
              <w:rPr>
                <w:sz w:val="19"/>
              </w:rPr>
              <w:t>Virtual Data Science with Python Trainee</w:t>
            </w:r>
          </w:p>
        </w:tc>
      </w:tr>
      <w:tr>
        <w:tc>
          <w:tcPr>
            <w:tcW w:type="dxa" w:w="3168"/>
            <w:shd w:fill="EDF2F7"/>
            <w:tcMar>
              <w:top w:w="50" w:type="dxa"/>
              <w:bottom w:w="50" w:type="dxa"/>
              <w:left w:w="80" w:type="dxa"/>
              <w:right w:w="80" w:type="dxa"/>
            </w:tcMar>
          </w:tcPr>
          <w:p>
            <w:r>
              <w:rPr>
                <w:b/>
                <w:sz w:val="19"/>
              </w:rPr>
              <w:t>Core Stack</w:t>
            </w:r>
          </w:p>
        </w:tc>
        <w:tc>
          <w:tcPr>
            <w:tcW w:type="dxa" w:w="6192"/>
            <w:shd w:fill="FFFFFF"/>
            <w:tcMar>
              <w:top w:w="50" w:type="dxa"/>
              <w:bottom w:w="50" w:type="dxa"/>
              <w:left w:w="80" w:type="dxa"/>
              <w:right w:w="80" w:type="dxa"/>
            </w:tcMar>
          </w:tcPr>
          <w:p>
            <w:r>
              <w:rPr>
                <w:sz w:val="19"/>
              </w:rPr>
              <w:t>Python 3.13 | Pandas | NumPy | Scikit-Learn | Matplotlib | Seaborn</w:t>
            </w:r>
          </w:p>
        </w:tc>
      </w:tr>
      <w:tr>
        <w:tc>
          <w:tcPr>
            <w:tcW w:type="dxa" w:w="3168"/>
            <w:shd w:fill="EDF2F7"/>
            <w:tcMar>
              <w:top w:w="50" w:type="dxa"/>
              <w:bottom w:w="50" w:type="dxa"/>
              <w:left w:w="80" w:type="dxa"/>
              <w:right w:w="80" w:type="dxa"/>
            </w:tcMar>
          </w:tcPr>
          <w:p>
            <w:r>
              <w:rPr>
                <w:b/>
                <w:sz w:val="19"/>
              </w:rPr>
              <w:t>Submission Date &amp; Status</w:t>
            </w:r>
          </w:p>
        </w:tc>
        <w:tc>
          <w:tcPr>
            <w:tcW w:type="dxa" w:w="6192"/>
            <w:shd w:fill="FFFFFF"/>
            <w:tcMar>
              <w:top w:w="50" w:type="dxa"/>
              <w:bottom w:w="50" w:type="dxa"/>
              <w:left w:w="80" w:type="dxa"/>
              <w:right w:w="80" w:type="dxa"/>
            </w:tcMar>
          </w:tcPr>
          <w:p>
            <w:r>
              <w:rPr>
                <w:sz w:val="19"/>
              </w:rPr>
              <w:t>Week 1 Milestone | Comprehensive Final Deliverable</w:t>
            </w:r>
          </w:p>
        </w:tc>
      </w:tr>
    </w:tbl>
    <w:p>
      <w:pPr>
        <w:spacing w:after="200"/>
      </w:pPr>
    </w:p>
    <w:p>
      <w:pPr>
        <w:pStyle w:val="Heading1"/>
        <w:keepNext/>
        <w:spacing w:before="320" w:after="120"/>
      </w:pPr>
      <w:r>
        <w:rPr>
          <w:rFonts w:ascii="Calibri" w:hAnsi="Calibri"/>
          <w:b/>
          <w:color w:val="1A365D"/>
          <w:sz w:val="32"/>
        </w:rPr>
        <w:t>1. Executive Summary &amp; Project Objectives</w:t>
      </w:r>
    </w:p>
    <w:p>
      <w:r>
        <w:t>Data quality is the cornerstone of any production-grade analytical and predictive machine learning system. Raw datasets harvested from real-world systems, transactional databases, and legacy CRMs are inherently contaminated with anomalies, missing observations, malformed strings, erroneous sensor/financial values, and severe distributional skewness. The objective of this Week 1 milestone is to establish a rigorous, repeatable, and scalable end-to-end Python pipeline that ingests a publicly available benchmark dataset (Customer Intelligence and Churn Analytics), performs holistic data auditing, executes multi-stage data remediation, and transforms the raw records into an optimized, model-ready format.</w:t>
      </w:r>
    </w:p>
    <w:tbl>
      <w:tblPr>
        <w:tblW w:type="auto" w:w="0"/>
        <w:jc w:val="center"/>
        <w:tblLayout w:type="fixed"/>
        <w:tblLook w:firstColumn="1" w:firstRow="1" w:lastColumn="0" w:lastRow="0" w:noHBand="0" w:noVBand="1" w:val="04A0"/>
      </w:tblPr>
      <w:tblGrid>
        <w:gridCol w:w="9936"/>
      </w:tblGrid>
      <w:tr>
        <w:tc>
          <w:tcPr>
            <w:tcW w:type="dxa" w:w="9360"/>
            <w:shd w:fill="EBF8FF"/>
            <w:tcMar>
              <w:top w:w="140" w:type="dxa"/>
              <w:bottom w:w="140" w:type="dxa"/>
              <w:left w:w="200" w:type="dxa"/>
              <w:right w:w="180" w:type="dxa"/>
            </w:tcMar>
            <w:tcBorders>
              <w:top w:val="none"/>
              <w:left w:val="single" w:sz="36" w:space="0" w:color="2B6CB0"/>
              <w:bottom w:val="none"/>
              <w:right w:val="none"/>
            </w:tcBorders>
          </w:tcPr>
          <w:p>
            <w:pPr>
              <w:spacing w:before="0" w:after="80" w:line="276" w:lineRule="auto"/>
            </w:pPr>
            <w:r>
              <w:rPr>
                <w:rFonts w:ascii="Calibri" w:hAnsi="Calibri"/>
                <w:b/>
                <w:color w:val="2B6CB0"/>
                <w:sz w:val="21"/>
              </w:rPr>
              <w:t>📌 Core Milestone Objectives</w:t>
              <w:br/>
            </w:r>
            <w:r>
              <w:rPr>
                <w:rFonts w:ascii="Calibri" w:hAnsi="Calibri"/>
                <w:color w:val="2D3748"/>
                <w:sz w:val="20"/>
              </w:rPr>
              <w:t>• Data Acquisition &amp; Ingestion: Programmatically load and audit raw transactional data.</w:t>
              <w:br/>
              <w:t>• Data Quality Auditing: Detect missingness mechanisms (MCAR/MAR), schema anomalies, and invalid data types.</w:t>
              <w:br/>
              <w:t>• Advanced Remediation: Execute KNN numerical imputation, categorical mode imputation, string normalization, and domain boundary constraints.</w:t>
              <w:br/>
              <w:t>• Outlier Diagnostics: Perform IQR Winsorization and assess multi-dimensional anomaly behavior.</w:t>
              <w:br/>
              <w:t>• Skewness &amp; Feature Engineering: Apply Log1p transformations, binning, service density indicators, and robust scaling.</w:t>
            </w:r>
          </w:p>
        </w:tc>
      </w:tr>
    </w:tbl>
    <w:p>
      <w:pPr>
        <w:spacing w:after="80"/>
      </w:pPr>
    </w:p>
    <w:p>
      <w:pPr>
        <w:pStyle w:val="Heading1"/>
        <w:keepNext/>
        <w:spacing w:before="320" w:after="120"/>
      </w:pPr>
      <w:r>
        <w:rPr>
          <w:rFonts w:ascii="Calibri" w:hAnsi="Calibri"/>
          <w:b/>
          <w:color w:val="1A365D"/>
          <w:sz w:val="32"/>
        </w:rPr>
        <w:t>2. End-to-End Data Preprocessing Architecture</w:t>
      </w:r>
    </w:p>
    <w:p>
      <w:r>
        <w:t>The preprocessing architecture follows an industrial 5-stage ETL &amp; Feature Engineering paradigm. Each stage encapsulates strict validation gates ensuring zero data leakage and maintaining statistical fidelity.</w:t>
      </w:r>
    </w:p>
    <w:p>
      <w:pPr>
        <w:keepNext/>
        <w:spacing w:before="160" w:after="4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08_data_cleaning_pipeline_flowchart.png"/>
                    <pic:cNvPicPr/>
                  </pic:nvPicPr>
                  <pic:blipFill>
                    <a:blip r:embed="rId9"/>
                    <a:stretch>
                      <a:fillRect/>
                    </a:stretch>
                  </pic:blipFill>
                  <pic:spPr>
                    <a:xfrm>
                      <a:off x="0" y="0"/>
                      <a:ext cx="5669280" cy="2834640"/>
                    </a:xfrm>
                    <a:prstGeom prst="rect"/>
                  </pic:spPr>
                </pic:pic>
              </a:graphicData>
            </a:graphic>
          </wp:inline>
        </w:drawing>
      </w:r>
    </w:p>
    <w:p>
      <w:pPr>
        <w:spacing w:before="0" w:after="160"/>
        <w:jc w:val="center"/>
      </w:pPr>
      <w:r>
        <w:rPr>
          <w:rFonts w:ascii="Calibri" w:hAnsi="Calibri"/>
          <w:i/>
          <w:color w:val="718096"/>
          <w:sz w:val="18"/>
        </w:rPr>
        <w:t>Figure: Industrial 5-Stage Data Cleaning &amp; Preprocessing Architectural Flowchart</w:t>
      </w:r>
    </w:p>
    <w:p>
      <w:pPr>
        <w:pStyle w:val="Heading1"/>
        <w:keepNext/>
        <w:spacing w:before="320" w:after="120"/>
      </w:pPr>
      <w:r>
        <w:rPr>
          <w:rFonts w:ascii="Calibri" w:hAnsi="Calibri"/>
          <w:b/>
          <w:color w:val="1A365D"/>
          <w:sz w:val="32"/>
        </w:rPr>
        <w:t>3. Data Acquisition &amp; Initial Exploration</w:t>
      </w:r>
    </w:p>
    <w:p>
      <w:r>
        <w:t>The dataset represents a customer behavioral database encompassing demographic profiles, subscribed services, contract details, billing metrics, and churn status across 2,500 observation records and 20 distinct feature attributes. During initial ingestion, programmatic inspection identified widespread structural data quality defects:</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1872"/>
            <w:shd w:fill="1A365D"/>
            <w:tcMar>
              <w:top w:w="100" w:type="dxa"/>
              <w:bottom w:w="100" w:type="dxa"/>
              <w:left w:w="100" w:type="dxa"/>
              <w:right w:w="100" w:type="dxa"/>
            </w:tcMar>
          </w:tcPr>
          <w:p>
            <w:pPr>
              <w:spacing w:before="0" w:after="0"/>
              <w:jc w:val="left"/>
            </w:pPr>
            <w:r>
              <w:rPr>
                <w:rFonts w:ascii="Calibri" w:hAnsi="Calibri"/>
                <w:b/>
                <w:color w:val="FFFFFF"/>
                <w:sz w:val="19"/>
              </w:rPr>
              <w:t>Attribute</w:t>
            </w:r>
          </w:p>
        </w:tc>
        <w:tc>
          <w:tcPr>
            <w:tcW w:type="dxa" w:w="1296"/>
            <w:shd w:fill="1A365D"/>
            <w:tcMar>
              <w:top w:w="100" w:type="dxa"/>
              <w:bottom w:w="100" w:type="dxa"/>
              <w:left w:w="100" w:type="dxa"/>
              <w:right w:w="100" w:type="dxa"/>
            </w:tcMar>
          </w:tcPr>
          <w:p>
            <w:pPr>
              <w:spacing w:before="0" w:after="0"/>
              <w:jc w:val="left"/>
            </w:pPr>
            <w:r>
              <w:rPr>
                <w:rFonts w:ascii="Calibri" w:hAnsi="Calibri"/>
                <w:b/>
                <w:color w:val="FFFFFF"/>
                <w:sz w:val="19"/>
              </w:rPr>
              <w:t>Raw Type</w:t>
            </w:r>
          </w:p>
        </w:tc>
        <w:tc>
          <w:tcPr>
            <w:tcW w:type="dxa" w:w="2016"/>
            <w:shd w:fill="1A365D"/>
            <w:tcMar>
              <w:top w:w="100" w:type="dxa"/>
              <w:bottom w:w="100" w:type="dxa"/>
              <w:left w:w="100" w:type="dxa"/>
              <w:right w:w="100" w:type="dxa"/>
            </w:tcMar>
          </w:tcPr>
          <w:p>
            <w:pPr>
              <w:spacing w:before="0" w:after="0"/>
              <w:jc w:val="left"/>
            </w:pPr>
            <w:r>
              <w:rPr>
                <w:rFonts w:ascii="Calibri" w:hAnsi="Calibri"/>
                <w:b/>
                <w:color w:val="FFFFFF"/>
                <w:sz w:val="19"/>
              </w:rPr>
              <w:t>Target Domain</w:t>
            </w:r>
          </w:p>
        </w:tc>
        <w:tc>
          <w:tcPr>
            <w:tcW w:type="dxa" w:w="4176"/>
            <w:shd w:fill="1A365D"/>
            <w:tcMar>
              <w:top w:w="100" w:type="dxa"/>
              <w:bottom w:w="100" w:type="dxa"/>
              <w:left w:w="100" w:type="dxa"/>
              <w:right w:w="100" w:type="dxa"/>
            </w:tcMar>
          </w:tcPr>
          <w:p>
            <w:pPr>
              <w:spacing w:before="0" w:after="0"/>
              <w:jc w:val="left"/>
            </w:pPr>
            <w:r>
              <w:rPr>
                <w:rFonts w:ascii="Calibri" w:hAnsi="Calibri"/>
                <w:b/>
                <w:color w:val="FFFFFF"/>
                <w:sz w:val="19"/>
              </w:rPr>
              <w:t>Observed Defect / Noise Pattern</w:t>
            </w:r>
          </w:p>
        </w:tc>
      </w:tr>
      <w:tr>
        <w:tc>
          <w:tcPr>
            <w:tcW w:type="dxa" w:w="1872"/>
            <w:shd w:fill="FFFFFF"/>
            <w:tcMar>
              <w:top w:w="70" w:type="dxa"/>
              <w:bottom w:w="70" w:type="dxa"/>
              <w:left w:w="100" w:type="dxa"/>
              <w:right w:w="100" w:type="dxa"/>
            </w:tcMar>
          </w:tcPr>
          <w:p>
            <w:pPr>
              <w:spacing w:before="0" w:after="0"/>
              <w:jc w:val="left"/>
            </w:pPr>
            <w:r>
              <w:rPr>
                <w:rFonts w:ascii="Calibri" w:hAnsi="Calibri"/>
                <w:color w:val="2D3748"/>
                <w:sz w:val="18"/>
              </w:rPr>
              <w:t>CustomerID</w:t>
            </w:r>
          </w:p>
        </w:tc>
        <w:tc>
          <w:tcPr>
            <w:tcW w:type="dxa" w:w="1296"/>
            <w:shd w:fill="FFFFFF"/>
            <w:tcMar>
              <w:top w:w="70" w:type="dxa"/>
              <w:bottom w:w="70" w:type="dxa"/>
              <w:left w:w="100" w:type="dxa"/>
              <w:right w:w="100" w:type="dxa"/>
            </w:tcMar>
          </w:tcPr>
          <w:p>
            <w:pPr>
              <w:spacing w:before="0" w:after="0"/>
              <w:jc w:val="left"/>
            </w:pPr>
            <w:r>
              <w:rPr>
                <w:rFonts w:ascii="Calibri" w:hAnsi="Calibri"/>
                <w:color w:val="2D3748"/>
                <w:sz w:val="18"/>
              </w:rPr>
              <w:t>object</w:t>
            </w:r>
          </w:p>
        </w:tc>
        <w:tc>
          <w:tcPr>
            <w:tcW w:type="dxa" w:w="2016"/>
            <w:shd w:fill="FFFFFF"/>
            <w:tcMar>
              <w:top w:w="70" w:type="dxa"/>
              <w:bottom w:w="70" w:type="dxa"/>
              <w:left w:w="100" w:type="dxa"/>
              <w:right w:w="100" w:type="dxa"/>
            </w:tcMar>
          </w:tcPr>
          <w:p>
            <w:pPr>
              <w:spacing w:before="0" w:after="0"/>
              <w:jc w:val="left"/>
            </w:pPr>
            <w:r>
              <w:rPr>
                <w:rFonts w:ascii="Calibri" w:hAnsi="Calibri"/>
                <w:color w:val="2D3748"/>
                <w:sz w:val="18"/>
              </w:rPr>
              <w:t>Alphanumeric ID</w:t>
            </w:r>
          </w:p>
        </w:tc>
        <w:tc>
          <w:tcPr>
            <w:tcW w:type="dxa" w:w="4176"/>
            <w:shd w:fill="FFFFFF"/>
            <w:tcMar>
              <w:top w:w="70" w:type="dxa"/>
              <w:bottom w:w="70" w:type="dxa"/>
              <w:left w:w="100" w:type="dxa"/>
              <w:right w:w="100" w:type="dxa"/>
            </w:tcMar>
          </w:tcPr>
          <w:p>
            <w:pPr>
              <w:spacing w:before="0" w:after="0"/>
              <w:jc w:val="left"/>
            </w:pPr>
            <w:r>
              <w:rPr>
                <w:rFonts w:ascii="Calibri" w:hAnsi="Calibri"/>
                <w:color w:val="2D3748"/>
                <w:sz w:val="18"/>
              </w:rPr>
              <w:t>Duplicate customer primary keys (~20 duplicate entries)</w:t>
            </w:r>
          </w:p>
        </w:tc>
      </w:tr>
      <w:tr>
        <w:tc>
          <w:tcPr>
            <w:tcW w:type="dxa" w:w="1872"/>
            <w:shd w:fill="F7FAFC"/>
            <w:tcMar>
              <w:top w:w="70" w:type="dxa"/>
              <w:bottom w:w="70" w:type="dxa"/>
              <w:left w:w="100" w:type="dxa"/>
              <w:right w:w="100" w:type="dxa"/>
            </w:tcMar>
          </w:tcPr>
          <w:p>
            <w:pPr>
              <w:spacing w:before="0" w:after="0"/>
              <w:jc w:val="left"/>
            </w:pPr>
            <w:r>
              <w:rPr>
                <w:rFonts w:ascii="Calibri" w:hAnsi="Calibri"/>
                <w:color w:val="2D3748"/>
                <w:sz w:val="18"/>
              </w:rPr>
              <w:t>Gender</w:t>
            </w:r>
          </w:p>
        </w:tc>
        <w:tc>
          <w:tcPr>
            <w:tcW w:type="dxa" w:w="1296"/>
            <w:shd w:fill="F7FAFC"/>
            <w:tcMar>
              <w:top w:w="70" w:type="dxa"/>
              <w:bottom w:w="70" w:type="dxa"/>
              <w:left w:w="100" w:type="dxa"/>
              <w:right w:w="100" w:type="dxa"/>
            </w:tcMar>
          </w:tcPr>
          <w:p>
            <w:pPr>
              <w:spacing w:before="0" w:after="0"/>
              <w:jc w:val="left"/>
            </w:pPr>
            <w:r>
              <w:rPr>
                <w:rFonts w:ascii="Calibri" w:hAnsi="Calibri"/>
                <w:color w:val="2D3748"/>
                <w:sz w:val="18"/>
              </w:rPr>
              <w:t>object</w:t>
            </w:r>
          </w:p>
        </w:tc>
        <w:tc>
          <w:tcPr>
            <w:tcW w:type="dxa" w:w="2016"/>
            <w:shd w:fill="F7FAFC"/>
            <w:tcMar>
              <w:top w:w="70" w:type="dxa"/>
              <w:bottom w:w="70" w:type="dxa"/>
              <w:left w:w="100" w:type="dxa"/>
              <w:right w:w="100" w:type="dxa"/>
            </w:tcMar>
          </w:tcPr>
          <w:p>
            <w:pPr>
              <w:spacing w:before="0" w:after="0"/>
              <w:jc w:val="left"/>
            </w:pPr>
            <w:r>
              <w:rPr>
                <w:rFonts w:ascii="Calibri" w:hAnsi="Calibri"/>
                <w:color w:val="2D3748"/>
                <w:sz w:val="18"/>
              </w:rPr>
              <w:t>Binary (Male/Female)</w:t>
            </w:r>
          </w:p>
        </w:tc>
        <w:tc>
          <w:tcPr>
            <w:tcW w:type="dxa" w:w="4176"/>
            <w:shd w:fill="F7FAFC"/>
            <w:tcMar>
              <w:top w:w="70" w:type="dxa"/>
              <w:bottom w:w="70" w:type="dxa"/>
              <w:left w:w="100" w:type="dxa"/>
              <w:right w:w="100" w:type="dxa"/>
            </w:tcMar>
          </w:tcPr>
          <w:p>
            <w:pPr>
              <w:spacing w:before="0" w:after="0"/>
              <w:jc w:val="left"/>
            </w:pPr>
            <w:r>
              <w:rPr>
                <w:rFonts w:ascii="Calibri" w:hAnsi="Calibri"/>
                <w:color w:val="2D3748"/>
                <w:sz w:val="18"/>
              </w:rPr>
              <w:t>Inconsistent casing ('male', 'FEMALE', 'Fe-male'), leading whitespaces</w:t>
            </w:r>
          </w:p>
        </w:tc>
      </w:tr>
      <w:tr>
        <w:tc>
          <w:tcPr>
            <w:tcW w:type="dxa" w:w="1872"/>
            <w:shd w:fill="FFFFFF"/>
            <w:tcMar>
              <w:top w:w="70" w:type="dxa"/>
              <w:bottom w:w="70" w:type="dxa"/>
              <w:left w:w="100" w:type="dxa"/>
              <w:right w:w="100" w:type="dxa"/>
            </w:tcMar>
          </w:tcPr>
          <w:p>
            <w:pPr>
              <w:spacing w:before="0" w:after="0"/>
              <w:jc w:val="left"/>
            </w:pPr>
            <w:r>
              <w:rPr>
                <w:rFonts w:ascii="Calibri" w:hAnsi="Calibri"/>
                <w:color w:val="2D3748"/>
                <w:sz w:val="18"/>
              </w:rPr>
              <w:t>SeniorCitizen</w:t>
            </w:r>
          </w:p>
        </w:tc>
        <w:tc>
          <w:tcPr>
            <w:tcW w:type="dxa" w:w="1296"/>
            <w:shd w:fill="FFFFFF"/>
            <w:tcMar>
              <w:top w:w="70" w:type="dxa"/>
              <w:bottom w:w="70" w:type="dxa"/>
              <w:left w:w="100" w:type="dxa"/>
              <w:right w:w="100" w:type="dxa"/>
            </w:tcMar>
          </w:tcPr>
          <w:p>
            <w:pPr>
              <w:spacing w:before="0" w:after="0"/>
              <w:jc w:val="left"/>
            </w:pPr>
            <w:r>
              <w:rPr>
                <w:rFonts w:ascii="Calibri" w:hAnsi="Calibri"/>
                <w:color w:val="2D3748"/>
                <w:sz w:val="18"/>
              </w:rPr>
              <w:t>object</w:t>
            </w:r>
          </w:p>
        </w:tc>
        <w:tc>
          <w:tcPr>
            <w:tcW w:type="dxa" w:w="2016"/>
            <w:shd w:fill="FFFFFF"/>
            <w:tcMar>
              <w:top w:w="70" w:type="dxa"/>
              <w:bottom w:w="70" w:type="dxa"/>
              <w:left w:w="100" w:type="dxa"/>
              <w:right w:w="100" w:type="dxa"/>
            </w:tcMar>
          </w:tcPr>
          <w:p>
            <w:pPr>
              <w:spacing w:before="0" w:after="0"/>
              <w:jc w:val="left"/>
            </w:pPr>
            <w:r>
              <w:rPr>
                <w:rFonts w:ascii="Calibri" w:hAnsi="Calibri"/>
                <w:color w:val="2D3748"/>
                <w:sz w:val="18"/>
              </w:rPr>
              <w:t>Binary (0/1)</w:t>
            </w:r>
          </w:p>
        </w:tc>
        <w:tc>
          <w:tcPr>
            <w:tcW w:type="dxa" w:w="4176"/>
            <w:shd w:fill="FFFFFF"/>
            <w:tcMar>
              <w:top w:w="70" w:type="dxa"/>
              <w:bottom w:w="70" w:type="dxa"/>
              <w:left w:w="100" w:type="dxa"/>
              <w:right w:w="100" w:type="dxa"/>
            </w:tcMar>
          </w:tcPr>
          <w:p>
            <w:pPr>
              <w:spacing w:before="0" w:after="0"/>
              <w:jc w:val="left"/>
            </w:pPr>
            <w:r>
              <w:rPr>
                <w:rFonts w:ascii="Calibri" w:hAnsi="Calibri"/>
                <w:color w:val="2D3748"/>
                <w:sz w:val="18"/>
              </w:rPr>
              <w:t>Mixed types (integers 0/1, strings 'Yes'/'No', '0'/'1')</w:t>
            </w:r>
          </w:p>
        </w:tc>
      </w:tr>
      <w:tr>
        <w:tc>
          <w:tcPr>
            <w:tcW w:type="dxa" w:w="1872"/>
            <w:shd w:fill="F7FAFC"/>
            <w:tcMar>
              <w:top w:w="70" w:type="dxa"/>
              <w:bottom w:w="70" w:type="dxa"/>
              <w:left w:w="100" w:type="dxa"/>
              <w:right w:w="100" w:type="dxa"/>
            </w:tcMar>
          </w:tcPr>
          <w:p>
            <w:pPr>
              <w:spacing w:before="0" w:after="0"/>
              <w:jc w:val="left"/>
            </w:pPr>
            <w:r>
              <w:rPr>
                <w:rFonts w:ascii="Calibri" w:hAnsi="Calibri"/>
                <w:color w:val="2D3748"/>
                <w:sz w:val="18"/>
              </w:rPr>
              <w:t>TenureMonths</w:t>
            </w:r>
          </w:p>
        </w:tc>
        <w:tc>
          <w:tcPr>
            <w:tcW w:type="dxa" w:w="1296"/>
            <w:shd w:fill="F7FAFC"/>
            <w:tcMar>
              <w:top w:w="70" w:type="dxa"/>
              <w:bottom w:w="70" w:type="dxa"/>
              <w:left w:w="100" w:type="dxa"/>
              <w:right w:w="100" w:type="dxa"/>
            </w:tcMar>
          </w:tcPr>
          <w:p>
            <w:pPr>
              <w:spacing w:before="0" w:after="0"/>
              <w:jc w:val="left"/>
            </w:pPr>
            <w:r>
              <w:rPr>
                <w:rFonts w:ascii="Calibri" w:hAnsi="Calibri"/>
                <w:color w:val="2D3748"/>
                <w:sz w:val="18"/>
              </w:rPr>
              <w:t>float64</w:t>
            </w:r>
          </w:p>
        </w:tc>
        <w:tc>
          <w:tcPr>
            <w:tcW w:type="dxa" w:w="2016"/>
            <w:shd w:fill="F7FAFC"/>
            <w:tcMar>
              <w:top w:w="70" w:type="dxa"/>
              <w:bottom w:w="70" w:type="dxa"/>
              <w:left w:w="100" w:type="dxa"/>
              <w:right w:w="100" w:type="dxa"/>
            </w:tcMar>
          </w:tcPr>
          <w:p>
            <w:pPr>
              <w:spacing w:before="0" w:after="0"/>
              <w:jc w:val="left"/>
            </w:pPr>
            <w:r>
              <w:rPr>
                <w:rFonts w:ascii="Calibri" w:hAnsi="Calibri"/>
                <w:color w:val="2D3748"/>
                <w:sz w:val="18"/>
              </w:rPr>
              <w:t>Integer [0 - 72]</w:t>
            </w:r>
          </w:p>
        </w:tc>
        <w:tc>
          <w:tcPr>
            <w:tcW w:type="dxa" w:w="4176"/>
            <w:shd w:fill="F7FAFC"/>
            <w:tcMar>
              <w:top w:w="70" w:type="dxa"/>
              <w:bottom w:w="70" w:type="dxa"/>
              <w:left w:w="100" w:type="dxa"/>
              <w:right w:w="100" w:type="dxa"/>
            </w:tcMar>
          </w:tcPr>
          <w:p>
            <w:pPr>
              <w:spacing w:before="0" w:after="0"/>
              <w:jc w:val="left"/>
            </w:pPr>
            <w:r>
              <w:rPr>
                <w:rFonts w:ascii="Calibri" w:hAnsi="Calibri"/>
                <w:color w:val="2D3748"/>
                <w:sz w:val="18"/>
              </w:rPr>
              <w:t>Erroneous negative tenures (-5), impossible values (145), missing records</w:t>
            </w:r>
          </w:p>
        </w:tc>
      </w:tr>
      <w:tr>
        <w:tc>
          <w:tcPr>
            <w:tcW w:type="dxa" w:w="1872"/>
            <w:shd w:fill="FFFFFF"/>
            <w:tcMar>
              <w:top w:w="70" w:type="dxa"/>
              <w:bottom w:w="70" w:type="dxa"/>
              <w:left w:w="100" w:type="dxa"/>
              <w:right w:w="100" w:type="dxa"/>
            </w:tcMar>
          </w:tcPr>
          <w:p>
            <w:pPr>
              <w:spacing w:before="0" w:after="0"/>
              <w:jc w:val="left"/>
            </w:pPr>
            <w:r>
              <w:rPr>
                <w:rFonts w:ascii="Calibri" w:hAnsi="Calibri"/>
                <w:color w:val="2D3748"/>
                <w:sz w:val="18"/>
              </w:rPr>
              <w:t>MonthlyCharges</w:t>
            </w:r>
          </w:p>
        </w:tc>
        <w:tc>
          <w:tcPr>
            <w:tcW w:type="dxa" w:w="1296"/>
            <w:shd w:fill="FFFFFF"/>
            <w:tcMar>
              <w:top w:w="70" w:type="dxa"/>
              <w:bottom w:w="70" w:type="dxa"/>
              <w:left w:w="100" w:type="dxa"/>
              <w:right w:w="100" w:type="dxa"/>
            </w:tcMar>
          </w:tcPr>
          <w:p>
            <w:pPr>
              <w:spacing w:before="0" w:after="0"/>
              <w:jc w:val="left"/>
            </w:pPr>
            <w:r>
              <w:rPr>
                <w:rFonts w:ascii="Calibri" w:hAnsi="Calibri"/>
                <w:color w:val="2D3748"/>
                <w:sz w:val="18"/>
              </w:rPr>
              <w:t>object</w:t>
            </w:r>
          </w:p>
        </w:tc>
        <w:tc>
          <w:tcPr>
            <w:tcW w:type="dxa" w:w="2016"/>
            <w:shd w:fill="FFFFFF"/>
            <w:tcMar>
              <w:top w:w="70" w:type="dxa"/>
              <w:bottom w:w="70" w:type="dxa"/>
              <w:left w:w="100" w:type="dxa"/>
              <w:right w:w="100" w:type="dxa"/>
            </w:tcMar>
          </w:tcPr>
          <w:p>
            <w:pPr>
              <w:spacing w:before="0" w:after="0"/>
              <w:jc w:val="left"/>
            </w:pPr>
            <w:r>
              <w:rPr>
                <w:rFonts w:ascii="Calibri" w:hAnsi="Calibri"/>
                <w:color w:val="2D3748"/>
                <w:sz w:val="18"/>
              </w:rPr>
              <w:t>Float [$18 - $120]</w:t>
            </w:r>
          </w:p>
        </w:tc>
        <w:tc>
          <w:tcPr>
            <w:tcW w:type="dxa" w:w="4176"/>
            <w:shd w:fill="FFFFFF"/>
            <w:tcMar>
              <w:top w:w="70" w:type="dxa"/>
              <w:bottom w:w="70" w:type="dxa"/>
              <w:left w:w="100" w:type="dxa"/>
              <w:right w:w="100" w:type="dxa"/>
            </w:tcMar>
          </w:tcPr>
          <w:p>
            <w:pPr>
              <w:spacing w:before="0" w:after="0"/>
              <w:jc w:val="left"/>
            </w:pPr>
            <w:r>
              <w:rPr>
                <w:rFonts w:ascii="Calibri" w:hAnsi="Calibri"/>
                <w:color w:val="2D3748"/>
                <w:sz w:val="18"/>
              </w:rPr>
              <w:t>Currency prefixes ('$75.50'), negative values ('-45.0'), extreme outliers ($400+)</w:t>
            </w:r>
          </w:p>
        </w:tc>
      </w:tr>
      <w:tr>
        <w:tc>
          <w:tcPr>
            <w:tcW w:type="dxa" w:w="1872"/>
            <w:shd w:fill="F7FAFC"/>
            <w:tcMar>
              <w:top w:w="70" w:type="dxa"/>
              <w:bottom w:w="70" w:type="dxa"/>
              <w:left w:w="100" w:type="dxa"/>
              <w:right w:w="100" w:type="dxa"/>
            </w:tcMar>
          </w:tcPr>
          <w:p>
            <w:pPr>
              <w:spacing w:before="0" w:after="0"/>
              <w:jc w:val="left"/>
            </w:pPr>
            <w:r>
              <w:rPr>
                <w:rFonts w:ascii="Calibri" w:hAnsi="Calibri"/>
                <w:color w:val="2D3748"/>
                <w:sz w:val="18"/>
              </w:rPr>
              <w:t>TotalCharges</w:t>
            </w:r>
          </w:p>
        </w:tc>
        <w:tc>
          <w:tcPr>
            <w:tcW w:type="dxa" w:w="1296"/>
            <w:shd w:fill="F7FAFC"/>
            <w:tcMar>
              <w:top w:w="70" w:type="dxa"/>
              <w:bottom w:w="70" w:type="dxa"/>
              <w:left w:w="100" w:type="dxa"/>
              <w:right w:w="100" w:type="dxa"/>
            </w:tcMar>
          </w:tcPr>
          <w:p>
            <w:pPr>
              <w:spacing w:before="0" w:after="0"/>
              <w:jc w:val="left"/>
            </w:pPr>
            <w:r>
              <w:rPr>
                <w:rFonts w:ascii="Calibri" w:hAnsi="Calibri"/>
                <w:color w:val="2D3748"/>
                <w:sz w:val="18"/>
              </w:rPr>
              <w:t>object</w:t>
            </w:r>
          </w:p>
        </w:tc>
        <w:tc>
          <w:tcPr>
            <w:tcW w:type="dxa" w:w="2016"/>
            <w:shd w:fill="F7FAFC"/>
            <w:tcMar>
              <w:top w:w="70" w:type="dxa"/>
              <w:bottom w:w="70" w:type="dxa"/>
              <w:left w:w="100" w:type="dxa"/>
              <w:right w:w="100" w:type="dxa"/>
            </w:tcMar>
          </w:tcPr>
          <w:p>
            <w:pPr>
              <w:spacing w:before="0" w:after="0"/>
              <w:jc w:val="left"/>
            </w:pPr>
            <w:r>
              <w:rPr>
                <w:rFonts w:ascii="Calibri" w:hAnsi="Calibri"/>
                <w:color w:val="2D3748"/>
                <w:sz w:val="18"/>
              </w:rPr>
              <w:t>Float (Monetary)</w:t>
            </w:r>
          </w:p>
        </w:tc>
        <w:tc>
          <w:tcPr>
            <w:tcW w:type="dxa" w:w="4176"/>
            <w:shd w:fill="F7FAFC"/>
            <w:tcMar>
              <w:top w:w="70" w:type="dxa"/>
              <w:bottom w:w="70" w:type="dxa"/>
              <w:left w:w="100" w:type="dxa"/>
              <w:right w:w="100" w:type="dxa"/>
            </w:tcMar>
          </w:tcPr>
          <w:p>
            <w:pPr>
              <w:spacing w:before="0" w:after="0"/>
              <w:jc w:val="left"/>
            </w:pPr>
            <w:r>
              <w:rPr>
                <w:rFonts w:ascii="Calibri" w:hAnsi="Calibri"/>
                <w:color w:val="2D3748"/>
                <w:sz w:val="18"/>
              </w:rPr>
              <w:t>Whitespace empty strings (' '), missing values, currency symbols</w:t>
            </w:r>
          </w:p>
        </w:tc>
      </w:tr>
      <w:tr>
        <w:tc>
          <w:tcPr>
            <w:tcW w:type="dxa" w:w="1872"/>
            <w:shd w:fill="FFFFFF"/>
            <w:tcMar>
              <w:top w:w="70" w:type="dxa"/>
              <w:bottom w:w="70" w:type="dxa"/>
              <w:left w:w="100" w:type="dxa"/>
              <w:right w:w="100" w:type="dxa"/>
            </w:tcMar>
          </w:tcPr>
          <w:p>
            <w:pPr>
              <w:spacing w:before="0" w:after="0"/>
              <w:jc w:val="left"/>
            </w:pPr>
            <w:r>
              <w:rPr>
                <w:rFonts w:ascii="Calibri" w:hAnsi="Calibri"/>
                <w:color w:val="2D3748"/>
                <w:sz w:val="18"/>
              </w:rPr>
              <w:t>SignupDate</w:t>
            </w:r>
          </w:p>
        </w:tc>
        <w:tc>
          <w:tcPr>
            <w:tcW w:type="dxa" w:w="1296"/>
            <w:shd w:fill="FFFFFF"/>
            <w:tcMar>
              <w:top w:w="70" w:type="dxa"/>
              <w:bottom w:w="70" w:type="dxa"/>
              <w:left w:w="100" w:type="dxa"/>
              <w:right w:w="100" w:type="dxa"/>
            </w:tcMar>
          </w:tcPr>
          <w:p>
            <w:pPr>
              <w:spacing w:before="0" w:after="0"/>
              <w:jc w:val="left"/>
            </w:pPr>
            <w:r>
              <w:rPr>
                <w:rFonts w:ascii="Calibri" w:hAnsi="Calibri"/>
                <w:color w:val="2D3748"/>
                <w:sz w:val="18"/>
              </w:rPr>
              <w:t>object</w:t>
            </w:r>
          </w:p>
        </w:tc>
        <w:tc>
          <w:tcPr>
            <w:tcW w:type="dxa" w:w="2016"/>
            <w:shd w:fill="FFFFFF"/>
            <w:tcMar>
              <w:top w:w="70" w:type="dxa"/>
              <w:bottom w:w="70" w:type="dxa"/>
              <w:left w:w="100" w:type="dxa"/>
              <w:right w:w="100" w:type="dxa"/>
            </w:tcMar>
          </w:tcPr>
          <w:p>
            <w:pPr>
              <w:spacing w:before="0" w:after="0"/>
              <w:jc w:val="left"/>
            </w:pPr>
            <w:r>
              <w:rPr>
                <w:rFonts w:ascii="Calibri" w:hAnsi="Calibri"/>
                <w:color w:val="2D3748"/>
                <w:sz w:val="18"/>
              </w:rPr>
              <w:t>ISO Date (YYYY-MM-DD)</w:t>
            </w:r>
          </w:p>
        </w:tc>
        <w:tc>
          <w:tcPr>
            <w:tcW w:type="dxa" w:w="4176"/>
            <w:shd w:fill="FFFFFF"/>
            <w:tcMar>
              <w:top w:w="70" w:type="dxa"/>
              <w:bottom w:w="70" w:type="dxa"/>
              <w:left w:w="100" w:type="dxa"/>
              <w:right w:w="100" w:type="dxa"/>
            </w:tcMar>
          </w:tcPr>
          <w:p>
            <w:pPr>
              <w:spacing w:before="0" w:after="0"/>
              <w:jc w:val="left"/>
            </w:pPr>
            <w:r>
              <w:rPr>
                <w:rFonts w:ascii="Calibri" w:hAnsi="Calibri"/>
                <w:color w:val="2D3748"/>
                <w:sz w:val="18"/>
              </w:rPr>
              <w:t>Heterogeneous formats ('2021-04-12', '12/04/2021', 'Apr 12, 2021', 'INVALID_DATE')</w:t>
            </w:r>
          </w:p>
        </w:tc>
      </w:tr>
      <w:tr>
        <w:tc>
          <w:tcPr>
            <w:tcW w:type="dxa" w:w="1872"/>
            <w:shd w:fill="F7FAFC"/>
            <w:tcMar>
              <w:top w:w="70" w:type="dxa"/>
              <w:bottom w:w="70" w:type="dxa"/>
              <w:left w:w="100" w:type="dxa"/>
              <w:right w:w="100" w:type="dxa"/>
            </w:tcMar>
          </w:tcPr>
          <w:p>
            <w:pPr>
              <w:spacing w:before="0" w:after="0"/>
              <w:jc w:val="left"/>
            </w:pPr>
            <w:r>
              <w:rPr>
                <w:rFonts w:ascii="Calibri" w:hAnsi="Calibri"/>
                <w:color w:val="2D3748"/>
                <w:sz w:val="18"/>
              </w:rPr>
              <w:t>SatisfactionScore</w:t>
            </w:r>
          </w:p>
        </w:tc>
        <w:tc>
          <w:tcPr>
            <w:tcW w:type="dxa" w:w="1296"/>
            <w:shd w:fill="F7FAFC"/>
            <w:tcMar>
              <w:top w:w="70" w:type="dxa"/>
              <w:bottom w:w="70" w:type="dxa"/>
              <w:left w:w="100" w:type="dxa"/>
              <w:right w:w="100" w:type="dxa"/>
            </w:tcMar>
          </w:tcPr>
          <w:p>
            <w:pPr>
              <w:spacing w:before="0" w:after="0"/>
              <w:jc w:val="left"/>
            </w:pPr>
            <w:r>
              <w:rPr>
                <w:rFonts w:ascii="Calibri" w:hAnsi="Calibri"/>
                <w:color w:val="2D3748"/>
                <w:sz w:val="18"/>
              </w:rPr>
              <w:t>float64</w:t>
            </w:r>
          </w:p>
        </w:tc>
        <w:tc>
          <w:tcPr>
            <w:tcW w:type="dxa" w:w="2016"/>
            <w:shd w:fill="F7FAFC"/>
            <w:tcMar>
              <w:top w:w="70" w:type="dxa"/>
              <w:bottom w:w="70" w:type="dxa"/>
              <w:left w:w="100" w:type="dxa"/>
              <w:right w:w="100" w:type="dxa"/>
            </w:tcMar>
          </w:tcPr>
          <w:p>
            <w:pPr>
              <w:spacing w:before="0" w:after="0"/>
              <w:jc w:val="left"/>
            </w:pPr>
            <w:r>
              <w:rPr>
                <w:rFonts w:ascii="Calibri" w:hAnsi="Calibri"/>
                <w:color w:val="2D3748"/>
                <w:sz w:val="18"/>
              </w:rPr>
              <w:t>Integer [1 - 5]</w:t>
            </w:r>
          </w:p>
        </w:tc>
        <w:tc>
          <w:tcPr>
            <w:tcW w:type="dxa" w:w="4176"/>
            <w:shd w:fill="F7FAFC"/>
            <w:tcMar>
              <w:top w:w="70" w:type="dxa"/>
              <w:bottom w:w="70" w:type="dxa"/>
              <w:left w:w="100" w:type="dxa"/>
              <w:right w:w="100" w:type="dxa"/>
            </w:tcMar>
          </w:tcPr>
          <w:p>
            <w:pPr>
              <w:spacing w:before="0" w:after="0"/>
              <w:jc w:val="left"/>
            </w:pPr>
            <w:r>
              <w:rPr>
                <w:rFonts w:ascii="Calibri" w:hAnsi="Calibri"/>
                <w:color w:val="2D3748"/>
                <w:sz w:val="18"/>
              </w:rPr>
              <w:t>Out-of-bound sensor entries (0, 99), null entries</w:t>
            </w:r>
          </w:p>
        </w:tc>
      </w:tr>
      <w:tr>
        <w:tc>
          <w:tcPr>
            <w:tcW w:type="dxa" w:w="1872"/>
            <w:shd w:fill="FFFFFF"/>
            <w:tcMar>
              <w:top w:w="70" w:type="dxa"/>
              <w:bottom w:w="70" w:type="dxa"/>
              <w:left w:w="100" w:type="dxa"/>
              <w:right w:w="100" w:type="dxa"/>
            </w:tcMar>
          </w:tcPr>
          <w:p>
            <w:pPr>
              <w:spacing w:before="0" w:after="0"/>
              <w:jc w:val="left"/>
            </w:pPr>
            <w:r>
              <w:rPr>
                <w:rFonts w:ascii="Calibri" w:hAnsi="Calibri"/>
                <w:color w:val="2D3748"/>
                <w:sz w:val="18"/>
              </w:rPr>
              <w:t>Churn</w:t>
            </w:r>
          </w:p>
        </w:tc>
        <w:tc>
          <w:tcPr>
            <w:tcW w:type="dxa" w:w="1296"/>
            <w:shd w:fill="FFFFFF"/>
            <w:tcMar>
              <w:top w:w="70" w:type="dxa"/>
              <w:bottom w:w="70" w:type="dxa"/>
              <w:left w:w="100" w:type="dxa"/>
              <w:right w:w="100" w:type="dxa"/>
            </w:tcMar>
          </w:tcPr>
          <w:p>
            <w:pPr>
              <w:spacing w:before="0" w:after="0"/>
              <w:jc w:val="left"/>
            </w:pPr>
            <w:r>
              <w:rPr>
                <w:rFonts w:ascii="Calibri" w:hAnsi="Calibri"/>
                <w:color w:val="2D3748"/>
                <w:sz w:val="18"/>
              </w:rPr>
              <w:t>object</w:t>
            </w:r>
          </w:p>
        </w:tc>
        <w:tc>
          <w:tcPr>
            <w:tcW w:type="dxa" w:w="2016"/>
            <w:shd w:fill="FFFFFF"/>
            <w:tcMar>
              <w:top w:w="70" w:type="dxa"/>
              <w:bottom w:w="70" w:type="dxa"/>
              <w:left w:w="100" w:type="dxa"/>
              <w:right w:w="100" w:type="dxa"/>
            </w:tcMar>
          </w:tcPr>
          <w:p>
            <w:pPr>
              <w:spacing w:before="0" w:after="0"/>
              <w:jc w:val="left"/>
            </w:pPr>
            <w:r>
              <w:rPr>
                <w:rFonts w:ascii="Calibri" w:hAnsi="Calibri"/>
                <w:color w:val="2D3748"/>
                <w:sz w:val="18"/>
              </w:rPr>
              <w:t>Binary Flag</w:t>
            </w:r>
          </w:p>
        </w:tc>
        <w:tc>
          <w:tcPr>
            <w:tcW w:type="dxa" w:w="4176"/>
            <w:shd w:fill="FFFFFF"/>
            <w:tcMar>
              <w:top w:w="70" w:type="dxa"/>
              <w:bottom w:w="70" w:type="dxa"/>
              <w:left w:w="100" w:type="dxa"/>
              <w:right w:w="100" w:type="dxa"/>
            </w:tcMar>
          </w:tcPr>
          <w:p>
            <w:pPr>
              <w:spacing w:before="0" w:after="0"/>
              <w:jc w:val="left"/>
            </w:pPr>
            <w:r>
              <w:rPr>
                <w:rFonts w:ascii="Calibri" w:hAnsi="Calibri"/>
                <w:color w:val="2D3748"/>
                <w:sz w:val="18"/>
              </w:rPr>
              <w:t>Target noise ('Yes', 'No', 'yes', 'no', missing values)</w:t>
            </w:r>
          </w:p>
        </w:tc>
      </w:tr>
    </w:tbl>
    <w:p>
      <w:pPr>
        <w:pStyle w:val="Heading1"/>
        <w:keepNext/>
        <w:spacing w:before="320" w:after="120"/>
      </w:pPr>
      <w:r>
        <w:rPr>
          <w:rFonts w:ascii="Calibri" w:hAnsi="Calibri"/>
          <w:b/>
          <w:color w:val="1A365D"/>
          <w:sz w:val="32"/>
        </w:rPr>
        <w:t>4. Exploratory Data Quality Auditing &amp; Missingness Analysis</w:t>
      </w:r>
    </w:p>
    <w:p>
      <w:r>
        <w:t>A critical pitfall in standard data cleaning workflows is evaluating null values solely via simplistic `.isnull().sum()` checks. Real-world data systems frequently contain hidden missingness—blank whitespace strings, sentinel placeholders ('N/A', 'NULL', 'INVALID_DATE'), and unparsed empty spaces. Our diagnostic audit uncovered that TotalCharges exhibited 113 explicit NaN values alongside 173 hidden whitespace entries, yielding a true missingness rate of 11.44%.</w:t>
      </w:r>
    </w:p>
    <w:p>
      <w:pPr>
        <w:keepNext/>
        <w:spacing w:before="160" w:after="4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02_missing_values_bar.png"/>
                    <pic:cNvPicPr/>
                  </pic:nvPicPr>
                  <pic:blipFill>
                    <a:blip r:embed="rId10"/>
                    <a:stretch>
                      <a:fillRect/>
                    </a:stretch>
                  </pic:blipFill>
                  <pic:spPr>
                    <a:xfrm>
                      <a:off x="0" y="0"/>
                      <a:ext cx="5669280" cy="2834640"/>
                    </a:xfrm>
                    <a:prstGeom prst="rect"/>
                  </pic:spPr>
                </pic:pic>
              </a:graphicData>
            </a:graphic>
          </wp:inline>
        </w:drawing>
      </w:r>
    </w:p>
    <w:p>
      <w:pPr>
        <w:spacing w:before="0" w:after="160"/>
        <w:jc w:val="center"/>
      </w:pPr>
      <w:r>
        <w:rPr>
          <w:rFonts w:ascii="Calibri" w:hAnsi="Calibri"/>
          <w:i/>
          <w:color w:val="718096"/>
          <w:sz w:val="18"/>
        </w:rPr>
        <w:t>Figure: Audit of True Missing &amp; Incomplete Values Across Dataset Features</w:t>
      </w:r>
    </w:p>
    <w:p>
      <w:pPr>
        <w:keepNext/>
        <w:spacing w:before="160" w:after="40"/>
        <w:jc w:val="center"/>
      </w:pPr>
      <w:r>
        <w:drawing>
          <wp:inline xmlns:a="http://schemas.openxmlformats.org/drawingml/2006/main" xmlns:pic="http://schemas.openxmlformats.org/drawingml/2006/picture">
            <wp:extent cx="5669280" cy="2429691"/>
            <wp:docPr id="3" name="Picture 3"/>
            <wp:cNvGraphicFramePr>
              <a:graphicFrameLocks noChangeAspect="1"/>
            </wp:cNvGraphicFramePr>
            <a:graphic>
              <a:graphicData uri="http://schemas.openxmlformats.org/drawingml/2006/picture">
                <pic:pic>
                  <pic:nvPicPr>
                    <pic:cNvPr id="0" name="01_missing_data_matrix.png"/>
                    <pic:cNvPicPr/>
                  </pic:nvPicPr>
                  <pic:blipFill>
                    <a:blip r:embed="rId11"/>
                    <a:stretch>
                      <a:fillRect/>
                    </a:stretch>
                  </pic:blipFill>
                  <pic:spPr>
                    <a:xfrm>
                      <a:off x="0" y="0"/>
                      <a:ext cx="5669280" cy="2429691"/>
                    </a:xfrm>
                    <a:prstGeom prst="rect"/>
                  </pic:spPr>
                </pic:pic>
              </a:graphicData>
            </a:graphic>
          </wp:inline>
        </w:drawing>
      </w:r>
    </w:p>
    <w:p>
      <w:pPr>
        <w:spacing w:before="0" w:after="160"/>
        <w:jc w:val="center"/>
      </w:pPr>
      <w:r>
        <w:rPr>
          <w:rFonts w:ascii="Calibri" w:hAnsi="Calibri"/>
          <w:i/>
          <w:color w:val="718096"/>
          <w:sz w:val="18"/>
        </w:rPr>
        <w:t>Figure: Binary Missingness Pattern Matrix Across 2,500 Ingested Observations</w:t>
      </w:r>
    </w:p>
    <w:p>
      <w:pPr>
        <w:spacing w:before="120" w:after="40"/>
      </w:pPr>
      <w:r>
        <w:rPr>
          <w:rFonts w:ascii="Calibri" w:hAnsi="Calibri"/>
          <w:b/>
          <w:color w:val="4A5568"/>
          <w:sz w:val="19"/>
        </w:rPr>
        <w:t>Code Snippet: Comprehensive Hidden Missingness and Sentinel Value Detector</w:t>
      </w:r>
    </w:p>
    <w:tbl>
      <w:tblPr>
        <w:tblW w:type="auto" w:w="0"/>
        <w:jc w:val="center"/>
        <w:tblLayout w:type="fixed"/>
        <w:tblLook w:firstColumn="1" w:firstRow="1" w:lastColumn="0" w:lastRow="0" w:noHBand="0" w:noVBand="1" w:val="04A0"/>
      </w:tblPr>
      <w:tblGrid>
        <w:gridCol w:w="9936"/>
      </w:tblGrid>
      <w:tr>
        <w:tc>
          <w:tcPr>
            <w:tcW w:type="dxa" w:w="9360"/>
            <w:shd w:fill="F7FAFC"/>
            <w:tcMar>
              <w:top w:w="100" w:type="dxa"/>
              <w:bottom w:w="100" w:type="dxa"/>
              <w:left w:w="140" w:type="dxa"/>
              <w:right w:w="140" w:type="dxa"/>
            </w:tcMar>
            <w:tcBorders>
              <w:top w:val="single" w:sz="6" w:space="0" w:color="CBD5E0"/>
              <w:left w:val="single" w:sz="18" w:space="0" w:color="4A5568"/>
              <w:bottom w:val="single" w:sz="6" w:space="0" w:color="CBD5E0"/>
              <w:right w:val="single" w:sz="6" w:space="0" w:color="CBD5E0"/>
            </w:tcBorders>
          </w:tcPr>
          <w:p>
            <w:pPr>
              <w:spacing w:before="0" w:after="0" w:line="252" w:lineRule="auto"/>
            </w:pPr>
            <w:r>
              <w:rPr>
                <w:rFonts w:ascii="Consolas" w:hAnsi="Consolas"/>
                <w:color w:val="1A202C"/>
                <w:sz w:val="17"/>
              </w:rPr>
              <w:t>def audit_hidden_missingness(df):</w:t>
              <w:br/>
              <w:t xml:space="preserve">    missing_summary = []</w:t>
              <w:br/>
              <w:t xml:space="preserve">    for col in df.columns:</w:t>
              <w:br/>
              <w:t xml:space="preserve">        null_count = df[col].isnull().sum()</w:t>
              <w:br/>
              <w:t xml:space="preserve">        blank_count = 0</w:t>
              <w:br/>
              <w:t xml:space="preserve">        if df[col].dtype == 'object':</w:t>
              <w:br/>
              <w:t xml:space="preserve">            blank_count = df[col].apply(lambda x: 1 if isinstance(x, str) and </w:t>
              <w:br/>
              <w:t xml:space="preserve">                (x.strip() == '' or x.strip().upper() in ['NA', 'N/A', 'NULL', 'NONE']) else 0).sum()</w:t>
              <w:br/>
              <w:t xml:space="preserve">        total_missing = null_count + blank_count</w:t>
              <w:br/>
              <w:t xml:space="preserve">        missing_summary.append({</w:t>
              <w:br/>
              <w:t xml:space="preserve">            'Feature': col, 'Raw Nulls': null_count, 'Hidden Blanks': blank_count,</w:t>
              <w:br/>
              <w:t xml:space="preserve">            'Total Incomplete': total_missing, 'Missing %': round((total_missing / len(df)) * 100, 2)</w:t>
              <w:br/>
              <w:t xml:space="preserve">        })</w:t>
              <w:br/>
              <w:t xml:space="preserve">    return pd.DataFrame(missing_summary)</w:t>
            </w:r>
          </w:p>
        </w:tc>
      </w:tr>
    </w:tbl>
    <w:p>
      <w:pPr>
        <w:spacing w:after="80"/>
      </w:pPr>
    </w:p>
    <w:p>
      <w:pPr>
        <w:pStyle w:val="Heading1"/>
        <w:keepNext/>
        <w:spacing w:before="320" w:after="120"/>
      </w:pPr>
      <w:r>
        <w:rPr>
          <w:rFonts w:ascii="Calibri" w:hAnsi="Calibri"/>
          <w:b/>
          <w:color w:val="1A365D"/>
          <w:sz w:val="32"/>
        </w:rPr>
        <w:t>5. Systematic Data Cleaning &amp; Value Remediation</w:t>
      </w:r>
    </w:p>
    <w:p>
      <w:r>
        <w:t>Data remediation was executed through a modular, deterministic strategy structured around five pillars:</w:t>
      </w:r>
    </w:p>
    <w:p>
      <w:pPr>
        <w:pStyle w:val="Heading2"/>
        <w:keepNext/>
        <w:spacing w:before="240" w:after="80"/>
      </w:pPr>
      <w:r>
        <w:rPr>
          <w:rFonts w:ascii="Calibri" w:hAnsi="Calibri"/>
          <w:b/>
          <w:color w:val="2B6CB0"/>
          <w:sz w:val="26"/>
        </w:rPr>
        <w:t>5.1 Primary Key Deduplication</w:t>
      </w:r>
    </w:p>
    <w:p>
      <w:r>
        <w:t>Customer records were validated for primary key uniqueness. Exactly 20 duplicate customer instances were identified and purged, retaining the primary first recorded entry to prevent artificial data leakage and inflated sample weighting.</w:t>
      </w:r>
    </w:p>
    <w:p>
      <w:pPr>
        <w:pStyle w:val="Heading2"/>
        <w:keepNext/>
        <w:spacing w:before="240" w:after="80"/>
      </w:pPr>
      <w:r>
        <w:rPr>
          <w:rFonts w:ascii="Calibri" w:hAnsi="Calibri"/>
          <w:b/>
          <w:color w:val="2B6CB0"/>
          <w:sz w:val="26"/>
        </w:rPr>
        <w:t>5.2 Categorical Casing &amp; Whitespace Standardization</w:t>
      </w:r>
    </w:p>
    <w:p>
      <w:r>
        <w:t>All text attributes were subjected to bidirectional whitespace trimming (`.str.strip()`), case folding, and dictionary mapping. For example, the variable Gender contained seven distinct noisy representations ('Male', 'male', 'MALE', 'FEMALE', 'Female', 'female', 'Fe-male') which were normalized into a canonical binary domain {'Male', 'Female'}.</w:t>
      </w:r>
    </w:p>
    <w:p>
      <w:pPr>
        <w:pStyle w:val="Heading2"/>
        <w:keepNext/>
        <w:spacing w:before="240" w:after="80"/>
      </w:pPr>
      <w:r>
        <w:rPr>
          <w:rFonts w:ascii="Calibri" w:hAnsi="Calibri"/>
          <w:b/>
          <w:color w:val="2B6CB0"/>
          <w:sz w:val="26"/>
        </w:rPr>
        <w:t>5.3 Numeric Parsing &amp; Domain Constraint Enforcement</w:t>
      </w:r>
    </w:p>
    <w:p>
      <w:r>
        <w:t>Financial metrics formatted as strings with currency symbols and commas were parsed into 64-bit floating point representations. Furthermore, domain-specific physical constraints were strictly enforced:</w:t>
        <w:br/>
        <w:t>• Monthly Charges: Values &lt; $0 (impossible negative billing) were flagged and converted to NaN for imputation.</w:t>
        <w:br/>
        <w:t>• Tenure Months: Values &lt; 0 and values &gt; 72 months (exceeding historical maximum operating window) were invalidated.</w:t>
        <w:br/>
        <w:t>• Satisfaction Ratings: Values outside the 1 to 5 Likert scale (e.g. 0, 99) were converted to NaN.</w:t>
      </w:r>
    </w:p>
    <w:p>
      <w:pPr>
        <w:pStyle w:val="Heading2"/>
        <w:keepNext/>
        <w:spacing w:before="240" w:after="80"/>
      </w:pPr>
      <w:r>
        <w:rPr>
          <w:rFonts w:ascii="Calibri" w:hAnsi="Calibri"/>
          <w:b/>
          <w:color w:val="2B6CB0"/>
          <w:sz w:val="26"/>
        </w:rPr>
        <w:t>5.4 Multi-Format Datetime Normalization</w:t>
      </w:r>
    </w:p>
    <w:p>
      <w:r>
        <w:t>Signup dates received in non-standard mixed formats ('YYYY-MM-DD', 'DD/MM/YYYY', 'Month DD, YYYY') were parsed using flexible datetime parsing. Corrupted sentinel dates ('INVALID_DATE') were mathematically back-calculated based on the customer's recorded tenure duration relative to the anchor reference timestamp.</w:t>
      </w:r>
    </w:p>
    <w:p>
      <w:pPr>
        <w:pStyle w:val="Heading2"/>
        <w:keepNext/>
        <w:spacing w:before="240" w:after="80"/>
      </w:pPr>
      <w:r>
        <w:rPr>
          <w:rFonts w:ascii="Calibri" w:hAnsi="Calibri"/>
          <w:b/>
          <w:color w:val="2B6CB0"/>
          <w:sz w:val="26"/>
        </w:rPr>
        <w:t>5.5 Advanced Imputation Strategy (KNN &amp; Mode)</w:t>
      </w:r>
    </w:p>
    <w:p>
      <w:r>
        <w:t>Rather than resorting to naive mean substitution (which artificially deflates feature variance and degrades correlation structures), we implemented K-Nearest Neighbors (KNN) Imputation (k=5, distance-weighted metric) across continuous numerical features (Tenure, Monthly Charges, Satisfaction Score). Categorical missing entries were filled using mode frequency.</w:t>
      </w:r>
    </w:p>
    <w:p>
      <w:pPr>
        <w:spacing w:before="120" w:after="40"/>
      </w:pPr>
      <w:r>
        <w:rPr>
          <w:rFonts w:ascii="Calibri" w:hAnsi="Calibri"/>
          <w:b/>
          <w:color w:val="4A5568"/>
          <w:sz w:val="19"/>
        </w:rPr>
        <w:t>Code Snippet: KNN Multi-Attribute Imputation Pipeline</w:t>
      </w:r>
    </w:p>
    <w:tbl>
      <w:tblPr>
        <w:tblW w:type="auto" w:w="0"/>
        <w:jc w:val="center"/>
        <w:tblLayout w:type="fixed"/>
        <w:tblLook w:firstColumn="1" w:firstRow="1" w:lastColumn="0" w:lastRow="0" w:noHBand="0" w:noVBand="1" w:val="04A0"/>
      </w:tblPr>
      <w:tblGrid>
        <w:gridCol w:w="9936"/>
      </w:tblGrid>
      <w:tr>
        <w:tc>
          <w:tcPr>
            <w:tcW w:type="dxa" w:w="9360"/>
            <w:shd w:fill="F7FAFC"/>
            <w:tcMar>
              <w:top w:w="100" w:type="dxa"/>
              <w:bottom w:w="100" w:type="dxa"/>
              <w:left w:w="140" w:type="dxa"/>
              <w:right w:w="140" w:type="dxa"/>
            </w:tcMar>
            <w:tcBorders>
              <w:top w:val="single" w:sz="6" w:space="0" w:color="CBD5E0"/>
              <w:left w:val="single" w:sz="18" w:space="0" w:color="4A5568"/>
              <w:bottom w:val="single" w:sz="6" w:space="0" w:color="CBD5E0"/>
              <w:right w:val="single" w:sz="6" w:space="0" w:color="CBD5E0"/>
            </w:tcBorders>
          </w:tcPr>
          <w:p>
            <w:pPr>
              <w:spacing w:before="0" w:after="0" w:line="252" w:lineRule="auto"/>
            </w:pPr>
            <w:r>
              <w:rPr>
                <w:rFonts w:ascii="Consolas" w:hAnsi="Consolas"/>
                <w:color w:val="1A202C"/>
                <w:sz w:val="17"/>
              </w:rPr>
              <w:t># Advanced KNN Imputation for Multidimensional Numerical Features</w:t>
              <w:br/>
              <w:t>from sklearn.impute import KNNImputer</w:t>
              <w:br/>
              <w:br/>
              <w:t>num_cols = ['TenureMonths', 'MonthlyCharges', 'SatisfactionScore']</w:t>
              <w:br/>
              <w:t>knn_imputer = KNNImputer(n_neighbors=5, weights='distance')</w:t>
              <w:br/>
              <w:t>clean_df[num_cols] = knn_imputer.fit_transform(clean_df[num_cols])</w:t>
              <w:br/>
              <w:t>clean_df['SatisfactionScore'] = clean_df['SatisfactionScore'].round().astype(int)</w:t>
              <w:br/>
              <w:br/>
              <w:t># Deterministic Logical Fill for Total Charges</w:t>
              <w:br/>
              <w:t>clean_df['TotalCharges'] = clean_df['TotalCharges'].fillna(clean_df['TenureMonths'] * clean_df['MonthlyCharges'])</w:t>
            </w:r>
          </w:p>
        </w:tc>
      </w:tr>
    </w:tbl>
    <w:p>
      <w:pPr>
        <w:spacing w:after="80"/>
      </w:pPr>
    </w:p>
    <w:p>
      <w:pPr>
        <w:pStyle w:val="Heading1"/>
        <w:keepNext/>
        <w:spacing w:before="320" w:after="120"/>
      </w:pPr>
      <w:r>
        <w:rPr>
          <w:rFonts w:ascii="Calibri" w:hAnsi="Calibri"/>
          <w:b/>
          <w:color w:val="1A365D"/>
          <w:sz w:val="32"/>
        </w:rPr>
        <w:t>6. Outlier Diagnostics, IQR Winsorization &amp; Treatment</w:t>
      </w:r>
    </w:p>
    <w:p>
      <w:r>
        <w:t>Outliers can heavily bias parameter estimation in ordinary least squares (OLS) regression, distort gradient updates in neural networks, and skew centroid calculations in k-means clustering. We performed statistical outlier detection utilizing the Tukey 1.5 × IQR (Interquartile Range) method.</w:t>
      </w:r>
    </w:p>
    <w:p>
      <w:pPr>
        <w:keepNext/>
        <w:spacing w:before="160" w:after="40"/>
        <w:jc w:val="center"/>
      </w:pPr>
      <w:r>
        <w:drawing>
          <wp:inline xmlns:a="http://schemas.openxmlformats.org/drawingml/2006/main" xmlns:pic="http://schemas.openxmlformats.org/drawingml/2006/picture">
            <wp:extent cx="5669280" cy="2024743"/>
            <wp:docPr id="4" name="Picture 4"/>
            <wp:cNvGraphicFramePr>
              <a:graphicFrameLocks noChangeAspect="1"/>
            </wp:cNvGraphicFramePr>
            <a:graphic>
              <a:graphicData uri="http://schemas.openxmlformats.org/drawingml/2006/picture">
                <pic:pic>
                  <pic:nvPicPr>
                    <pic:cNvPr id="0" name="03_outliers_before_cleaning.png"/>
                    <pic:cNvPicPr/>
                  </pic:nvPicPr>
                  <pic:blipFill>
                    <a:blip r:embed="rId12"/>
                    <a:stretch>
                      <a:fillRect/>
                    </a:stretch>
                  </pic:blipFill>
                  <pic:spPr>
                    <a:xfrm>
                      <a:off x="0" y="0"/>
                      <a:ext cx="5669280" cy="2024743"/>
                    </a:xfrm>
                    <a:prstGeom prst="rect"/>
                  </pic:spPr>
                </pic:pic>
              </a:graphicData>
            </a:graphic>
          </wp:inline>
        </w:drawing>
      </w:r>
    </w:p>
    <w:p>
      <w:pPr>
        <w:spacing w:before="0" w:after="160"/>
        <w:jc w:val="center"/>
      </w:pPr>
      <w:r>
        <w:rPr>
          <w:rFonts w:ascii="Calibri" w:hAnsi="Calibri"/>
          <w:i/>
          <w:color w:val="718096"/>
          <w:sz w:val="18"/>
        </w:rPr>
        <w:t>Figure: Boxplot Diagnostics of Numerical Features Prior to Outlier Remediation</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rPr>
          <w:tblHeader/>
        </w:trPr>
        <w:tc>
          <w:tcPr>
            <w:tcW w:type="dxa" w:w="1872"/>
            <w:shd w:fill="1A365D"/>
            <w:tcMar>
              <w:top w:w="100" w:type="dxa"/>
              <w:bottom w:w="100" w:type="dxa"/>
              <w:left w:w="100" w:type="dxa"/>
              <w:right w:w="100" w:type="dxa"/>
            </w:tcMar>
          </w:tcPr>
          <w:p>
            <w:pPr>
              <w:spacing w:before="0" w:after="0"/>
              <w:jc w:val="left"/>
            </w:pPr>
            <w:r>
              <w:rPr>
                <w:rFonts w:ascii="Calibri" w:hAnsi="Calibri"/>
                <w:b/>
                <w:color w:val="FFFFFF"/>
                <w:sz w:val="19"/>
              </w:rPr>
              <w:t>Metric / Feature</w:t>
            </w:r>
          </w:p>
        </w:tc>
        <w:tc>
          <w:tcPr>
            <w:tcW w:type="dxa" w:w="1152"/>
            <w:shd w:fill="1A365D"/>
            <w:tcMar>
              <w:top w:w="100" w:type="dxa"/>
              <w:bottom w:w="100" w:type="dxa"/>
              <w:left w:w="100" w:type="dxa"/>
              <w:right w:w="100" w:type="dxa"/>
            </w:tcMar>
          </w:tcPr>
          <w:p>
            <w:pPr>
              <w:spacing w:before="0" w:after="0"/>
              <w:jc w:val="right"/>
            </w:pPr>
            <w:r>
              <w:rPr>
                <w:rFonts w:ascii="Calibri" w:hAnsi="Calibri"/>
                <w:b/>
                <w:color w:val="FFFFFF"/>
                <w:sz w:val="19"/>
              </w:rPr>
              <w:t>Q1 (25th %)</w:t>
            </w:r>
          </w:p>
        </w:tc>
        <w:tc>
          <w:tcPr>
            <w:tcW w:type="dxa" w:w="1152"/>
            <w:shd w:fill="1A365D"/>
            <w:tcMar>
              <w:top w:w="100" w:type="dxa"/>
              <w:bottom w:w="100" w:type="dxa"/>
              <w:left w:w="100" w:type="dxa"/>
              <w:right w:w="100" w:type="dxa"/>
            </w:tcMar>
          </w:tcPr>
          <w:p>
            <w:pPr>
              <w:spacing w:before="0" w:after="0"/>
              <w:jc w:val="right"/>
            </w:pPr>
            <w:r>
              <w:rPr>
                <w:rFonts w:ascii="Calibri" w:hAnsi="Calibri"/>
                <w:b/>
                <w:color w:val="FFFFFF"/>
                <w:sz w:val="19"/>
              </w:rPr>
              <w:t>Q3 (75th %)</w:t>
            </w:r>
          </w:p>
        </w:tc>
        <w:tc>
          <w:tcPr>
            <w:tcW w:type="dxa" w:w="1152"/>
            <w:shd w:fill="1A365D"/>
            <w:tcMar>
              <w:top w:w="100" w:type="dxa"/>
              <w:bottom w:w="100" w:type="dxa"/>
              <w:left w:w="100" w:type="dxa"/>
              <w:right w:w="100" w:type="dxa"/>
            </w:tcMar>
          </w:tcPr>
          <w:p>
            <w:pPr>
              <w:spacing w:before="0" w:after="0"/>
              <w:jc w:val="right"/>
            </w:pPr>
            <w:r>
              <w:rPr>
                <w:rFonts w:ascii="Calibri" w:hAnsi="Calibri"/>
                <w:b/>
                <w:color w:val="FFFFFF"/>
                <w:sz w:val="19"/>
              </w:rPr>
              <w:t>IQR</w:t>
            </w:r>
          </w:p>
        </w:tc>
        <w:tc>
          <w:tcPr>
            <w:tcW w:type="dxa" w:w="1296"/>
            <w:shd w:fill="1A365D"/>
            <w:tcMar>
              <w:top w:w="100" w:type="dxa"/>
              <w:bottom w:w="100" w:type="dxa"/>
              <w:left w:w="100" w:type="dxa"/>
              <w:right w:w="100" w:type="dxa"/>
            </w:tcMar>
          </w:tcPr>
          <w:p>
            <w:pPr>
              <w:spacing w:before="0" w:after="0"/>
              <w:jc w:val="right"/>
            </w:pPr>
            <w:r>
              <w:rPr>
                <w:rFonts w:ascii="Calibri" w:hAnsi="Calibri"/>
                <w:b/>
                <w:color w:val="FFFFFF"/>
                <w:sz w:val="19"/>
              </w:rPr>
              <w:t>Lower Fence</w:t>
            </w:r>
          </w:p>
        </w:tc>
        <w:tc>
          <w:tcPr>
            <w:tcW w:type="dxa" w:w="1296"/>
            <w:shd w:fill="1A365D"/>
            <w:tcMar>
              <w:top w:w="100" w:type="dxa"/>
              <w:bottom w:w="100" w:type="dxa"/>
              <w:left w:w="100" w:type="dxa"/>
              <w:right w:w="100" w:type="dxa"/>
            </w:tcMar>
          </w:tcPr>
          <w:p>
            <w:pPr>
              <w:spacing w:before="0" w:after="0"/>
              <w:jc w:val="right"/>
            </w:pPr>
            <w:r>
              <w:rPr>
                <w:rFonts w:ascii="Calibri" w:hAnsi="Calibri"/>
                <w:b/>
                <w:color w:val="FFFFFF"/>
                <w:sz w:val="19"/>
              </w:rPr>
              <w:t>Upper Fence</w:t>
            </w:r>
          </w:p>
        </w:tc>
        <w:tc>
          <w:tcPr>
            <w:tcW w:type="dxa" w:w="1440"/>
            <w:shd w:fill="1A365D"/>
            <w:tcMar>
              <w:top w:w="100" w:type="dxa"/>
              <w:bottom w:w="100" w:type="dxa"/>
              <w:left w:w="100" w:type="dxa"/>
              <w:right w:w="100" w:type="dxa"/>
            </w:tcMar>
          </w:tcPr>
          <w:p>
            <w:pPr>
              <w:spacing w:before="0" w:after="0"/>
              <w:jc w:val="right"/>
            </w:pPr>
            <w:r>
              <w:rPr>
                <w:rFonts w:ascii="Calibri" w:hAnsi="Calibri"/>
                <w:b/>
                <w:color w:val="FFFFFF"/>
                <w:sz w:val="19"/>
              </w:rPr>
              <w:t>Outliers Capped</w:t>
            </w:r>
          </w:p>
        </w:tc>
      </w:tr>
      <w:tr>
        <w:tc>
          <w:tcPr>
            <w:tcW w:type="dxa" w:w="1872"/>
            <w:shd w:fill="FFFFFF"/>
            <w:tcMar>
              <w:top w:w="70" w:type="dxa"/>
              <w:bottom w:w="70" w:type="dxa"/>
              <w:left w:w="100" w:type="dxa"/>
              <w:right w:w="100" w:type="dxa"/>
            </w:tcMar>
          </w:tcPr>
          <w:p>
            <w:pPr>
              <w:spacing w:before="0" w:after="0"/>
              <w:jc w:val="left"/>
            </w:pPr>
            <w:r>
              <w:rPr>
                <w:rFonts w:ascii="Calibri" w:hAnsi="Calibri"/>
                <w:color w:val="2D3748"/>
                <w:sz w:val="18"/>
              </w:rPr>
              <w:t>MonthlyCharges ($)</w:t>
            </w:r>
          </w:p>
        </w:tc>
        <w:tc>
          <w:tcPr>
            <w:tcW w:type="dxa" w:w="1152"/>
            <w:shd w:fill="FFFFFF"/>
            <w:tcMar>
              <w:top w:w="70" w:type="dxa"/>
              <w:bottom w:w="70" w:type="dxa"/>
              <w:left w:w="100" w:type="dxa"/>
              <w:right w:w="100" w:type="dxa"/>
            </w:tcMar>
          </w:tcPr>
          <w:p>
            <w:pPr>
              <w:spacing w:before="0" w:after="0"/>
              <w:jc w:val="right"/>
            </w:pPr>
            <w:r>
              <w:rPr>
                <w:rFonts w:ascii="Calibri" w:hAnsi="Calibri"/>
                <w:color w:val="2D3748"/>
                <w:sz w:val="18"/>
              </w:rPr>
              <w:t>$44.61</w:t>
            </w:r>
          </w:p>
        </w:tc>
        <w:tc>
          <w:tcPr>
            <w:tcW w:type="dxa" w:w="1152"/>
            <w:shd w:fill="FFFFFF"/>
            <w:tcMar>
              <w:top w:w="70" w:type="dxa"/>
              <w:bottom w:w="70" w:type="dxa"/>
              <w:left w:w="100" w:type="dxa"/>
              <w:right w:w="100" w:type="dxa"/>
            </w:tcMar>
          </w:tcPr>
          <w:p>
            <w:pPr>
              <w:spacing w:before="0" w:after="0"/>
              <w:jc w:val="right"/>
            </w:pPr>
            <w:r>
              <w:rPr>
                <w:rFonts w:ascii="Calibri" w:hAnsi="Calibri"/>
                <w:color w:val="2D3748"/>
                <w:sz w:val="18"/>
              </w:rPr>
              <w:t>$85.57</w:t>
            </w:r>
          </w:p>
        </w:tc>
        <w:tc>
          <w:tcPr>
            <w:tcW w:type="dxa" w:w="1152"/>
            <w:shd w:fill="FFFFFF"/>
            <w:tcMar>
              <w:top w:w="70" w:type="dxa"/>
              <w:bottom w:w="70" w:type="dxa"/>
              <w:left w:w="100" w:type="dxa"/>
              <w:right w:w="100" w:type="dxa"/>
            </w:tcMar>
          </w:tcPr>
          <w:p>
            <w:pPr>
              <w:spacing w:before="0" w:after="0"/>
              <w:jc w:val="right"/>
            </w:pPr>
            <w:r>
              <w:rPr>
                <w:rFonts w:ascii="Calibri" w:hAnsi="Calibri"/>
                <w:color w:val="2D3748"/>
                <w:sz w:val="18"/>
              </w:rPr>
              <w:t>$40.96</w:t>
            </w:r>
          </w:p>
        </w:tc>
        <w:tc>
          <w:tcPr>
            <w:tcW w:type="dxa" w:w="1296"/>
            <w:shd w:fill="FFFFFF"/>
            <w:tcMar>
              <w:top w:w="70" w:type="dxa"/>
              <w:bottom w:w="70" w:type="dxa"/>
              <w:left w:w="100" w:type="dxa"/>
              <w:right w:w="100" w:type="dxa"/>
            </w:tcMar>
          </w:tcPr>
          <w:p>
            <w:pPr>
              <w:spacing w:before="0" w:after="0"/>
              <w:jc w:val="right"/>
            </w:pPr>
            <w:r>
              <w:rPr>
                <w:rFonts w:ascii="Calibri" w:hAnsi="Calibri"/>
                <w:color w:val="2D3748"/>
                <w:sz w:val="18"/>
              </w:rPr>
              <w:t>$0.00</w:t>
            </w:r>
          </w:p>
        </w:tc>
        <w:tc>
          <w:tcPr>
            <w:tcW w:type="dxa" w:w="1296"/>
            <w:shd w:fill="FFFFFF"/>
            <w:tcMar>
              <w:top w:w="70" w:type="dxa"/>
              <w:bottom w:w="70" w:type="dxa"/>
              <w:left w:w="100" w:type="dxa"/>
              <w:right w:w="100" w:type="dxa"/>
            </w:tcMar>
          </w:tcPr>
          <w:p>
            <w:pPr>
              <w:spacing w:before="0" w:after="0"/>
              <w:jc w:val="right"/>
            </w:pPr>
            <w:r>
              <w:rPr>
                <w:rFonts w:ascii="Calibri" w:hAnsi="Calibri"/>
                <w:color w:val="2D3748"/>
                <w:sz w:val="18"/>
              </w:rPr>
              <w:t>$147.01</w:t>
            </w:r>
          </w:p>
        </w:tc>
        <w:tc>
          <w:tcPr>
            <w:tcW w:type="dxa" w:w="1440"/>
            <w:shd w:fill="FFFFFF"/>
            <w:tcMar>
              <w:top w:w="70" w:type="dxa"/>
              <w:bottom w:w="70" w:type="dxa"/>
              <w:left w:w="100" w:type="dxa"/>
              <w:right w:w="100" w:type="dxa"/>
            </w:tcMar>
          </w:tcPr>
          <w:p>
            <w:pPr>
              <w:spacing w:before="0" w:after="0"/>
              <w:jc w:val="right"/>
            </w:pPr>
            <w:r>
              <w:rPr>
                <w:rFonts w:ascii="Calibri" w:hAnsi="Calibri"/>
                <w:color w:val="2D3748"/>
                <w:sz w:val="18"/>
              </w:rPr>
              <w:t>12 records</w:t>
            </w:r>
          </w:p>
        </w:tc>
      </w:tr>
      <w:tr>
        <w:tc>
          <w:tcPr>
            <w:tcW w:type="dxa" w:w="1872"/>
            <w:shd w:fill="F7FAFC"/>
            <w:tcMar>
              <w:top w:w="70" w:type="dxa"/>
              <w:bottom w:w="70" w:type="dxa"/>
              <w:left w:w="100" w:type="dxa"/>
              <w:right w:w="100" w:type="dxa"/>
            </w:tcMar>
          </w:tcPr>
          <w:p>
            <w:pPr>
              <w:spacing w:before="0" w:after="0"/>
              <w:jc w:val="left"/>
            </w:pPr>
            <w:r>
              <w:rPr>
                <w:rFonts w:ascii="Calibri" w:hAnsi="Calibri"/>
                <w:color w:val="2D3748"/>
                <w:sz w:val="18"/>
              </w:rPr>
              <w:t>TotalCharges ($)</w:t>
            </w:r>
          </w:p>
        </w:tc>
        <w:tc>
          <w:tcPr>
            <w:tcW w:type="dxa" w:w="1152"/>
            <w:shd w:fill="F7FAFC"/>
            <w:tcMar>
              <w:top w:w="70" w:type="dxa"/>
              <w:bottom w:w="70" w:type="dxa"/>
              <w:left w:w="100" w:type="dxa"/>
              <w:right w:w="100" w:type="dxa"/>
            </w:tcMar>
          </w:tcPr>
          <w:p>
            <w:pPr>
              <w:spacing w:before="0" w:after="0"/>
              <w:jc w:val="right"/>
            </w:pPr>
            <w:r>
              <w:rPr>
                <w:rFonts w:ascii="Calibri" w:hAnsi="Calibri"/>
                <w:color w:val="2D3748"/>
                <w:sz w:val="18"/>
              </w:rPr>
              <w:t>$406.82</w:t>
            </w:r>
          </w:p>
        </w:tc>
        <w:tc>
          <w:tcPr>
            <w:tcW w:type="dxa" w:w="1152"/>
            <w:shd w:fill="F7FAFC"/>
            <w:tcMar>
              <w:top w:w="70" w:type="dxa"/>
              <w:bottom w:w="70" w:type="dxa"/>
              <w:left w:w="100" w:type="dxa"/>
              <w:right w:w="100" w:type="dxa"/>
            </w:tcMar>
          </w:tcPr>
          <w:p>
            <w:pPr>
              <w:spacing w:before="0" w:after="0"/>
              <w:jc w:val="right"/>
            </w:pPr>
            <w:r>
              <w:rPr>
                <w:rFonts w:ascii="Calibri" w:hAnsi="Calibri"/>
                <w:color w:val="2D3748"/>
                <w:sz w:val="18"/>
              </w:rPr>
              <w:t>$2,135.57</w:t>
            </w:r>
          </w:p>
        </w:tc>
        <w:tc>
          <w:tcPr>
            <w:tcW w:type="dxa" w:w="1152"/>
            <w:shd w:fill="F7FAFC"/>
            <w:tcMar>
              <w:top w:w="70" w:type="dxa"/>
              <w:bottom w:w="70" w:type="dxa"/>
              <w:left w:w="100" w:type="dxa"/>
              <w:right w:w="100" w:type="dxa"/>
            </w:tcMar>
          </w:tcPr>
          <w:p>
            <w:pPr>
              <w:spacing w:before="0" w:after="0"/>
              <w:jc w:val="right"/>
            </w:pPr>
            <w:r>
              <w:rPr>
                <w:rFonts w:ascii="Calibri" w:hAnsi="Calibri"/>
                <w:color w:val="2D3748"/>
                <w:sz w:val="18"/>
              </w:rPr>
              <w:t>$1,728.75</w:t>
            </w:r>
          </w:p>
        </w:tc>
        <w:tc>
          <w:tcPr>
            <w:tcW w:type="dxa" w:w="1296"/>
            <w:shd w:fill="F7FAFC"/>
            <w:tcMar>
              <w:top w:w="70" w:type="dxa"/>
              <w:bottom w:w="70" w:type="dxa"/>
              <w:left w:w="100" w:type="dxa"/>
              <w:right w:w="100" w:type="dxa"/>
            </w:tcMar>
          </w:tcPr>
          <w:p>
            <w:pPr>
              <w:spacing w:before="0" w:after="0"/>
              <w:jc w:val="right"/>
            </w:pPr>
            <w:r>
              <w:rPr>
                <w:rFonts w:ascii="Calibri" w:hAnsi="Calibri"/>
                <w:color w:val="2D3748"/>
                <w:sz w:val="18"/>
              </w:rPr>
              <w:t>$0.00</w:t>
            </w:r>
          </w:p>
        </w:tc>
        <w:tc>
          <w:tcPr>
            <w:tcW w:type="dxa" w:w="1296"/>
            <w:shd w:fill="F7FAFC"/>
            <w:tcMar>
              <w:top w:w="70" w:type="dxa"/>
              <w:bottom w:w="70" w:type="dxa"/>
              <w:left w:w="100" w:type="dxa"/>
              <w:right w:w="100" w:type="dxa"/>
            </w:tcMar>
          </w:tcPr>
          <w:p>
            <w:pPr>
              <w:spacing w:before="0" w:after="0"/>
              <w:jc w:val="right"/>
            </w:pPr>
            <w:r>
              <w:rPr>
                <w:rFonts w:ascii="Calibri" w:hAnsi="Calibri"/>
                <w:color w:val="2D3748"/>
                <w:sz w:val="18"/>
              </w:rPr>
              <w:t>$4,728.70</w:t>
            </w:r>
          </w:p>
        </w:tc>
        <w:tc>
          <w:tcPr>
            <w:tcW w:type="dxa" w:w="1440"/>
            <w:shd w:fill="F7FAFC"/>
            <w:tcMar>
              <w:top w:w="70" w:type="dxa"/>
              <w:bottom w:w="70" w:type="dxa"/>
              <w:left w:w="100" w:type="dxa"/>
              <w:right w:w="100" w:type="dxa"/>
            </w:tcMar>
          </w:tcPr>
          <w:p>
            <w:pPr>
              <w:spacing w:before="0" w:after="0"/>
              <w:jc w:val="right"/>
            </w:pPr>
            <w:r>
              <w:rPr>
                <w:rFonts w:ascii="Calibri" w:hAnsi="Calibri"/>
                <w:color w:val="2D3748"/>
                <w:sz w:val="18"/>
              </w:rPr>
              <w:t>148 records</w:t>
            </w:r>
          </w:p>
        </w:tc>
      </w:tr>
    </w:tbl>
    <w:p>
      <w:r>
        <w:t>Rather than dropping outlier records—which would discard valid customer behavior data and induce survivor bias—we applied Winsorization (Robust Boundary Capping). Values exceeding the upper Tukey fence were clamped to the threshold, preserving the sample size of 2,480 valid customer profiles.</w:t>
      </w:r>
    </w:p>
    <w:p>
      <w:pPr>
        <w:keepNext/>
        <w:spacing w:before="160" w:after="40"/>
        <w:jc w:val="center"/>
      </w:pPr>
      <w:r>
        <w:drawing>
          <wp:inline xmlns:a="http://schemas.openxmlformats.org/drawingml/2006/main" xmlns:pic="http://schemas.openxmlformats.org/drawingml/2006/picture">
            <wp:extent cx="5669280" cy="2180492"/>
            <wp:docPr id="5" name="Picture 5"/>
            <wp:cNvGraphicFramePr>
              <a:graphicFrameLocks noChangeAspect="1"/>
            </wp:cNvGraphicFramePr>
            <a:graphic>
              <a:graphicData uri="http://schemas.openxmlformats.org/drawingml/2006/picture">
                <pic:pic>
                  <pic:nvPicPr>
                    <pic:cNvPr id="0" name="04_outlier_treatment_comparison.png"/>
                    <pic:cNvPicPr/>
                  </pic:nvPicPr>
                  <pic:blipFill>
                    <a:blip r:embed="rId13"/>
                    <a:stretch>
                      <a:fillRect/>
                    </a:stretch>
                  </pic:blipFill>
                  <pic:spPr>
                    <a:xfrm>
                      <a:off x="0" y="0"/>
                      <a:ext cx="5669280" cy="2180492"/>
                    </a:xfrm>
                    <a:prstGeom prst="rect"/>
                  </pic:spPr>
                </pic:pic>
              </a:graphicData>
            </a:graphic>
          </wp:inline>
        </w:drawing>
      </w:r>
    </w:p>
    <w:p>
      <w:pPr>
        <w:spacing w:before="0" w:after="160"/>
        <w:jc w:val="center"/>
      </w:pPr>
      <w:r>
        <w:rPr>
          <w:rFonts w:ascii="Calibri" w:hAnsi="Calibri"/>
          <w:i/>
          <w:color w:val="718096"/>
          <w:sz w:val="18"/>
        </w:rPr>
        <w:t>Figure: Before vs. After Outlier Treatment Comparison for TotalCharges Feature</w:t>
      </w:r>
    </w:p>
    <w:p>
      <w:pPr>
        <w:pStyle w:val="Heading1"/>
        <w:keepNext/>
        <w:spacing w:before="320" w:after="120"/>
      </w:pPr>
      <w:r>
        <w:rPr>
          <w:rFonts w:ascii="Calibri" w:hAnsi="Calibri"/>
          <w:b/>
          <w:color w:val="1A365D"/>
          <w:sz w:val="32"/>
        </w:rPr>
        <w:t>7. Distributional Skewness &amp; Mathematical Transformations</w:t>
      </w:r>
    </w:p>
    <w:p>
      <w:r>
        <w:t>Highly skewed feature distributions violate the normality assumptions required by parametric algorithms and create severe instability in loss surfaces. The original TotalCharges feature exhibited a pronounced right-skewness of +1.063. We applied a natural logarithmic transform with unit shift (Log1p), transforming the distribution into a near-Gaussian profile and stabilizing the variance.</w:t>
      </w:r>
    </w:p>
    <w:p>
      <w:pPr>
        <w:keepNext/>
        <w:spacing w:before="160" w:after="40"/>
        <w:jc w:val="center"/>
      </w:pPr>
      <w:r>
        <w:drawing>
          <wp:inline xmlns:a="http://schemas.openxmlformats.org/drawingml/2006/main" xmlns:pic="http://schemas.openxmlformats.org/drawingml/2006/picture">
            <wp:extent cx="5669280" cy="2024743"/>
            <wp:docPr id="6" name="Picture 6"/>
            <wp:cNvGraphicFramePr>
              <a:graphicFrameLocks noChangeAspect="1"/>
            </wp:cNvGraphicFramePr>
            <a:graphic>
              <a:graphicData uri="http://schemas.openxmlformats.org/drawingml/2006/picture">
                <pic:pic>
                  <pic:nvPicPr>
                    <pic:cNvPr id="0" name="05_skewness_transformation.png"/>
                    <pic:cNvPicPr/>
                  </pic:nvPicPr>
                  <pic:blipFill>
                    <a:blip r:embed="rId14"/>
                    <a:stretch>
                      <a:fillRect/>
                    </a:stretch>
                  </pic:blipFill>
                  <pic:spPr>
                    <a:xfrm>
                      <a:off x="0" y="0"/>
                      <a:ext cx="5669280" cy="2024743"/>
                    </a:xfrm>
                    <a:prstGeom prst="rect"/>
                  </pic:spPr>
                </pic:pic>
              </a:graphicData>
            </a:graphic>
          </wp:inline>
        </w:drawing>
      </w:r>
    </w:p>
    <w:p>
      <w:pPr>
        <w:spacing w:before="0" w:after="160"/>
        <w:jc w:val="center"/>
      </w:pPr>
      <w:r>
        <w:rPr>
          <w:rFonts w:ascii="Calibri" w:hAnsi="Calibri"/>
          <w:i/>
          <w:color w:val="718096"/>
          <w:sz w:val="18"/>
        </w:rPr>
        <w:t>Figure: Distribution &amp; Kernel Density Estimation (KDE) Before and After Log1p Transformation</w:t>
      </w:r>
    </w:p>
    <w:p>
      <w:pPr>
        <w:pStyle w:val="Heading1"/>
        <w:keepNext/>
        <w:spacing w:before="320" w:after="120"/>
      </w:pPr>
      <w:r>
        <w:rPr>
          <w:rFonts w:ascii="Calibri" w:hAnsi="Calibri"/>
          <w:b/>
          <w:color w:val="1A365D"/>
          <w:sz w:val="32"/>
        </w:rPr>
        <w:t>8. Feature Engineering, Categorical Encoding &amp; Scaling</w:t>
      </w:r>
    </w:p>
    <w:p>
      <w:r>
        <w:t>To maximize predictive signal for subsequent machine learning models, domain-specific feature engineering was conducted:</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2160"/>
            <w:shd w:fill="1A365D"/>
            <w:tcMar>
              <w:top w:w="100" w:type="dxa"/>
              <w:bottom w:w="100" w:type="dxa"/>
              <w:left w:w="100" w:type="dxa"/>
              <w:right w:w="100" w:type="dxa"/>
            </w:tcMar>
          </w:tcPr>
          <w:p>
            <w:pPr>
              <w:spacing w:before="0" w:after="0"/>
              <w:jc w:val="left"/>
            </w:pPr>
            <w:r>
              <w:rPr>
                <w:rFonts w:ascii="Calibri" w:hAnsi="Calibri"/>
                <w:b/>
                <w:color w:val="FFFFFF"/>
                <w:sz w:val="19"/>
              </w:rPr>
              <w:t>Engineered Feature</w:t>
            </w:r>
          </w:p>
        </w:tc>
        <w:tc>
          <w:tcPr>
            <w:tcW w:type="dxa" w:w="3168"/>
            <w:shd w:fill="1A365D"/>
            <w:tcMar>
              <w:top w:w="100" w:type="dxa"/>
              <w:bottom w:w="100" w:type="dxa"/>
              <w:left w:w="100" w:type="dxa"/>
              <w:right w:w="100" w:type="dxa"/>
            </w:tcMar>
          </w:tcPr>
          <w:p>
            <w:pPr>
              <w:spacing w:before="0" w:after="0"/>
              <w:jc w:val="left"/>
            </w:pPr>
            <w:r>
              <w:rPr>
                <w:rFonts w:ascii="Calibri" w:hAnsi="Calibri"/>
                <w:b/>
                <w:color w:val="FFFFFF"/>
                <w:sz w:val="19"/>
              </w:rPr>
              <w:t>Mathematical / Logical Formulation</w:t>
            </w:r>
          </w:p>
        </w:tc>
        <w:tc>
          <w:tcPr>
            <w:tcW w:type="dxa" w:w="4032"/>
            <w:shd w:fill="1A365D"/>
            <w:tcMar>
              <w:top w:w="100" w:type="dxa"/>
              <w:bottom w:w="100" w:type="dxa"/>
              <w:left w:w="100" w:type="dxa"/>
              <w:right w:w="100" w:type="dxa"/>
            </w:tcMar>
          </w:tcPr>
          <w:p>
            <w:pPr>
              <w:spacing w:before="0" w:after="0"/>
              <w:jc w:val="left"/>
            </w:pPr>
            <w:r>
              <w:rPr>
                <w:rFonts w:ascii="Calibri" w:hAnsi="Calibri"/>
                <w:b/>
                <w:color w:val="FFFFFF"/>
                <w:sz w:val="19"/>
              </w:rPr>
              <w:t>Domain Rationale &amp; Predictive Value</w:t>
            </w:r>
          </w:p>
        </w:tc>
      </w:tr>
      <w:tr>
        <w:tc>
          <w:tcPr>
            <w:tcW w:type="dxa" w:w="2160"/>
            <w:shd w:fill="FFFFFF"/>
            <w:tcMar>
              <w:top w:w="70" w:type="dxa"/>
              <w:bottom w:w="70" w:type="dxa"/>
              <w:left w:w="100" w:type="dxa"/>
              <w:right w:w="100" w:type="dxa"/>
            </w:tcMar>
          </w:tcPr>
          <w:p>
            <w:pPr>
              <w:spacing w:before="0" w:after="0"/>
              <w:jc w:val="left"/>
            </w:pPr>
            <w:r>
              <w:rPr>
                <w:rFonts w:ascii="Calibri" w:hAnsi="Calibri"/>
                <w:color w:val="2D3748"/>
                <w:sz w:val="18"/>
              </w:rPr>
              <w:t>TenureGroup</w:t>
            </w:r>
          </w:p>
        </w:tc>
        <w:tc>
          <w:tcPr>
            <w:tcW w:type="dxa" w:w="3168"/>
            <w:shd w:fill="FFFFFF"/>
            <w:tcMar>
              <w:top w:w="70" w:type="dxa"/>
              <w:bottom w:w="70" w:type="dxa"/>
              <w:left w:w="100" w:type="dxa"/>
              <w:right w:w="100" w:type="dxa"/>
            </w:tcMar>
          </w:tcPr>
          <w:p>
            <w:pPr>
              <w:spacing w:before="0" w:after="0"/>
              <w:jc w:val="left"/>
            </w:pPr>
            <w:r>
              <w:rPr>
                <w:rFonts w:ascii="Calibri" w:hAnsi="Calibri"/>
                <w:color w:val="2D3748"/>
                <w:sz w:val="18"/>
              </w:rPr>
              <w:t>Binned: [0-12m], [13-24m], [25-48m], [49-72m]</w:t>
            </w:r>
          </w:p>
        </w:tc>
        <w:tc>
          <w:tcPr>
            <w:tcW w:type="dxa" w:w="4032"/>
            <w:shd w:fill="FFFFFF"/>
            <w:tcMar>
              <w:top w:w="70" w:type="dxa"/>
              <w:bottom w:w="70" w:type="dxa"/>
              <w:left w:w="100" w:type="dxa"/>
              <w:right w:w="100" w:type="dxa"/>
            </w:tcMar>
          </w:tcPr>
          <w:p>
            <w:pPr>
              <w:spacing w:before="0" w:after="0"/>
              <w:jc w:val="left"/>
            </w:pPr>
            <w:r>
              <w:rPr>
                <w:rFonts w:ascii="Calibri" w:hAnsi="Calibri"/>
                <w:color w:val="2D3748"/>
                <w:sz w:val="18"/>
              </w:rPr>
              <w:t>Captures non-linear customer lifecycle stages (infant mortality vs. high brand loyalty).</w:t>
            </w:r>
          </w:p>
        </w:tc>
      </w:tr>
      <w:tr>
        <w:tc>
          <w:tcPr>
            <w:tcW w:type="dxa" w:w="2160"/>
            <w:shd w:fill="F7FAFC"/>
            <w:tcMar>
              <w:top w:w="70" w:type="dxa"/>
              <w:bottom w:w="70" w:type="dxa"/>
              <w:left w:w="100" w:type="dxa"/>
              <w:right w:w="100" w:type="dxa"/>
            </w:tcMar>
          </w:tcPr>
          <w:p>
            <w:pPr>
              <w:spacing w:before="0" w:after="0"/>
              <w:jc w:val="left"/>
            </w:pPr>
            <w:r>
              <w:rPr>
                <w:rFonts w:ascii="Calibri" w:hAnsi="Calibri"/>
                <w:color w:val="2D3748"/>
                <w:sz w:val="18"/>
              </w:rPr>
              <w:t>TotalServicesCount</w:t>
            </w:r>
          </w:p>
        </w:tc>
        <w:tc>
          <w:tcPr>
            <w:tcW w:type="dxa" w:w="3168"/>
            <w:shd w:fill="F7FAFC"/>
            <w:tcMar>
              <w:top w:w="70" w:type="dxa"/>
              <w:bottom w:w="70" w:type="dxa"/>
              <w:left w:w="100" w:type="dxa"/>
              <w:right w:w="100" w:type="dxa"/>
            </w:tcMar>
          </w:tcPr>
          <w:p>
            <w:pPr>
              <w:spacing w:before="0" w:after="0"/>
              <w:jc w:val="left"/>
            </w:pPr>
            <w:r>
              <w:rPr>
                <w:rFonts w:ascii="Calibri" w:hAnsi="Calibri"/>
                <w:color w:val="2D3748"/>
                <w:sz w:val="18"/>
              </w:rPr>
              <w:t>Sum of binary flags (Security + TechSupport + TV + Phone)</w:t>
            </w:r>
          </w:p>
        </w:tc>
        <w:tc>
          <w:tcPr>
            <w:tcW w:type="dxa" w:w="4032"/>
            <w:shd w:fill="F7FAFC"/>
            <w:tcMar>
              <w:top w:w="70" w:type="dxa"/>
              <w:bottom w:w="70" w:type="dxa"/>
              <w:left w:w="100" w:type="dxa"/>
              <w:right w:w="100" w:type="dxa"/>
            </w:tcMar>
          </w:tcPr>
          <w:p>
            <w:pPr>
              <w:spacing w:before="0" w:after="0"/>
              <w:jc w:val="left"/>
            </w:pPr>
            <w:r>
              <w:rPr>
                <w:rFonts w:ascii="Calibri" w:hAnsi="Calibri"/>
                <w:color w:val="2D3748"/>
                <w:sz w:val="18"/>
              </w:rPr>
              <w:t>Quantifies customer digital ecosystem stickiness; churn declines sharply with higher density.</w:t>
            </w:r>
          </w:p>
        </w:tc>
      </w:tr>
      <w:tr>
        <w:tc>
          <w:tcPr>
            <w:tcW w:type="dxa" w:w="2160"/>
            <w:shd w:fill="FFFFFF"/>
            <w:tcMar>
              <w:top w:w="70" w:type="dxa"/>
              <w:bottom w:w="70" w:type="dxa"/>
              <w:left w:w="100" w:type="dxa"/>
              <w:right w:w="100" w:type="dxa"/>
            </w:tcMar>
          </w:tcPr>
          <w:p>
            <w:pPr>
              <w:spacing w:before="0" w:after="0"/>
              <w:jc w:val="left"/>
            </w:pPr>
            <w:r>
              <w:rPr>
                <w:rFonts w:ascii="Calibri" w:hAnsi="Calibri"/>
                <w:color w:val="2D3748"/>
                <w:sz w:val="18"/>
              </w:rPr>
              <w:t>MonthlyToTotalRatio</w:t>
            </w:r>
          </w:p>
        </w:tc>
        <w:tc>
          <w:tcPr>
            <w:tcW w:type="dxa" w:w="3168"/>
            <w:shd w:fill="FFFFFF"/>
            <w:tcMar>
              <w:top w:w="70" w:type="dxa"/>
              <w:bottom w:w="70" w:type="dxa"/>
              <w:left w:w="100" w:type="dxa"/>
              <w:right w:w="100" w:type="dxa"/>
            </w:tcMar>
          </w:tcPr>
          <w:p>
            <w:pPr>
              <w:spacing w:before="0" w:after="0"/>
              <w:jc w:val="left"/>
            </w:pPr>
            <w:r>
              <w:rPr>
                <w:rFonts w:ascii="Calibri" w:hAnsi="Calibri"/>
                <w:color w:val="2D3748"/>
                <w:sz w:val="18"/>
              </w:rPr>
              <w:t>MonthlyCharges / (TotalCharges + 1)</w:t>
            </w:r>
          </w:p>
        </w:tc>
        <w:tc>
          <w:tcPr>
            <w:tcW w:type="dxa" w:w="4032"/>
            <w:shd w:fill="FFFFFF"/>
            <w:tcMar>
              <w:top w:w="70" w:type="dxa"/>
              <w:bottom w:w="70" w:type="dxa"/>
              <w:left w:w="100" w:type="dxa"/>
              <w:right w:w="100" w:type="dxa"/>
            </w:tcMar>
          </w:tcPr>
          <w:p>
            <w:pPr>
              <w:spacing w:before="0" w:after="0"/>
              <w:jc w:val="left"/>
            </w:pPr>
            <w:r>
              <w:rPr>
                <w:rFonts w:ascii="Calibri" w:hAnsi="Calibri"/>
                <w:color w:val="2D3748"/>
                <w:sz w:val="18"/>
              </w:rPr>
              <w:t>Detects rapid billing shocks and newly acquired high-velocity accounts.</w:t>
            </w:r>
          </w:p>
        </w:tc>
      </w:tr>
      <w:tr>
        <w:tc>
          <w:tcPr>
            <w:tcW w:type="dxa" w:w="2160"/>
            <w:shd w:fill="F7FAFC"/>
            <w:tcMar>
              <w:top w:w="70" w:type="dxa"/>
              <w:bottom w:w="70" w:type="dxa"/>
              <w:left w:w="100" w:type="dxa"/>
              <w:right w:w="100" w:type="dxa"/>
            </w:tcMar>
          </w:tcPr>
          <w:p>
            <w:pPr>
              <w:spacing w:before="0" w:after="0"/>
              <w:jc w:val="left"/>
            </w:pPr>
            <w:r>
              <w:rPr>
                <w:rFonts w:ascii="Calibri" w:hAnsi="Calibri"/>
                <w:color w:val="2D3748"/>
                <w:sz w:val="18"/>
              </w:rPr>
              <w:t>IsHighValueCustomer</w:t>
            </w:r>
          </w:p>
        </w:tc>
        <w:tc>
          <w:tcPr>
            <w:tcW w:type="dxa" w:w="3168"/>
            <w:shd w:fill="F7FAFC"/>
            <w:tcMar>
              <w:top w:w="70" w:type="dxa"/>
              <w:bottom w:w="70" w:type="dxa"/>
              <w:left w:w="100" w:type="dxa"/>
              <w:right w:w="100" w:type="dxa"/>
            </w:tcMar>
          </w:tcPr>
          <w:p>
            <w:pPr>
              <w:spacing w:before="0" w:after="0"/>
              <w:jc w:val="left"/>
            </w:pPr>
            <w:r>
              <w:rPr>
                <w:rFonts w:ascii="Calibri" w:hAnsi="Calibri"/>
                <w:color w:val="2D3748"/>
                <w:sz w:val="18"/>
              </w:rPr>
              <w:t>1 if MonthlyCharges &gt; 75th percentile, else 0</w:t>
            </w:r>
          </w:p>
        </w:tc>
        <w:tc>
          <w:tcPr>
            <w:tcW w:type="dxa" w:w="4032"/>
            <w:shd w:fill="F7FAFC"/>
            <w:tcMar>
              <w:top w:w="70" w:type="dxa"/>
              <w:bottom w:w="70" w:type="dxa"/>
              <w:left w:w="100" w:type="dxa"/>
              <w:right w:w="100" w:type="dxa"/>
            </w:tcMar>
          </w:tcPr>
          <w:p>
            <w:pPr>
              <w:spacing w:before="0" w:after="0"/>
              <w:jc w:val="left"/>
            </w:pPr>
            <w:r>
              <w:rPr>
                <w:rFonts w:ascii="Calibri" w:hAnsi="Calibri"/>
                <w:color w:val="2D3748"/>
                <w:sz w:val="18"/>
              </w:rPr>
              <w:t>Enables targeted retention algorithms to prioritize high-margin churn risks.</w:t>
            </w:r>
          </w:p>
        </w:tc>
      </w:tr>
    </w:tbl>
    <w:p>
      <w:pPr>
        <w:keepNext/>
        <w:spacing w:before="160" w:after="40"/>
        <w:jc w:val="center"/>
      </w:pPr>
      <w:r>
        <w:drawing>
          <wp:inline xmlns:a="http://schemas.openxmlformats.org/drawingml/2006/main" xmlns:pic="http://schemas.openxmlformats.org/drawingml/2006/picture">
            <wp:extent cx="5669280" cy="2024743"/>
            <wp:docPr id="7" name="Picture 7"/>
            <wp:cNvGraphicFramePr>
              <a:graphicFrameLocks noChangeAspect="1"/>
            </wp:cNvGraphicFramePr>
            <a:graphic>
              <a:graphicData uri="http://schemas.openxmlformats.org/drawingml/2006/picture">
                <pic:pic>
                  <pic:nvPicPr>
                    <pic:cNvPr id="0" name="07_categorical_distributions.png"/>
                    <pic:cNvPicPr/>
                  </pic:nvPicPr>
                  <pic:blipFill>
                    <a:blip r:embed="rId15"/>
                    <a:stretch>
                      <a:fillRect/>
                    </a:stretch>
                  </pic:blipFill>
                  <pic:spPr>
                    <a:xfrm>
                      <a:off x="0" y="0"/>
                      <a:ext cx="5669280" cy="2024743"/>
                    </a:xfrm>
                    <a:prstGeom prst="rect"/>
                  </pic:spPr>
                </pic:pic>
              </a:graphicData>
            </a:graphic>
          </wp:inline>
        </w:drawing>
      </w:r>
    </w:p>
    <w:p>
      <w:pPr>
        <w:spacing w:before="0" w:after="160"/>
        <w:jc w:val="center"/>
      </w:pPr>
      <w:r>
        <w:rPr>
          <w:rFonts w:ascii="Calibri" w:hAnsi="Calibri"/>
          <w:i/>
          <w:color w:val="718096"/>
          <w:sz w:val="18"/>
        </w:rPr>
        <w:t>Figure: Empirical Churn Probability Across Tenure Cohorts and Digital Service Densities</w:t>
      </w:r>
    </w:p>
    <w:p>
      <w:pPr>
        <w:pStyle w:val="Heading2"/>
        <w:keepNext/>
        <w:spacing w:before="240" w:after="80"/>
      </w:pPr>
      <w:r>
        <w:rPr>
          <w:rFonts w:ascii="Calibri" w:hAnsi="Calibri"/>
          <w:b/>
          <w:color w:val="2B6CB0"/>
          <w:sz w:val="26"/>
        </w:rPr>
        <w:t>8.1 Categorical Encoding &amp; Standardization</w:t>
      </w:r>
    </w:p>
    <w:p>
      <w:r>
        <w:t>• Binary Categoricals (Gender, Partner, Dependents, PhoneService, PaperlessBilling) were mapped to integer flags {0, 1}.</w:t>
        <w:br/>
        <w:t>• Nominal Multi-Class Categoricals (Contract, InternetService, PaymentMethod, TenureGroup) were One-Hot Encoded with `drop_first=True` to prevent multicollinearity (dummy variable trap).</w:t>
        <w:br/>
        <w:t>• Continuous Features (Tenure, MonthlyCharges, TotalCharges_Log1p, CustomerAgeDays) were scaled using StandardScaler to zero mean and unit variance.</w:t>
      </w:r>
    </w:p>
    <w:p>
      <w:pPr>
        <w:keepNext/>
        <w:spacing w:before="160" w:after="40"/>
        <w:jc w:val="center"/>
      </w:pPr>
      <w:r>
        <w:drawing>
          <wp:inline xmlns:a="http://schemas.openxmlformats.org/drawingml/2006/main" xmlns:pic="http://schemas.openxmlformats.org/drawingml/2006/picture">
            <wp:extent cx="5669280" cy="4049486"/>
            <wp:docPr id="8" name="Picture 8"/>
            <wp:cNvGraphicFramePr>
              <a:graphicFrameLocks noChangeAspect="1"/>
            </wp:cNvGraphicFramePr>
            <a:graphic>
              <a:graphicData uri="http://schemas.openxmlformats.org/drawingml/2006/picture">
                <pic:pic>
                  <pic:nvPicPr>
                    <pic:cNvPr id="0" name="06_feature_correlation_matrix.png"/>
                    <pic:cNvPicPr/>
                  </pic:nvPicPr>
                  <pic:blipFill>
                    <a:blip r:embed="rId16"/>
                    <a:stretch>
                      <a:fillRect/>
                    </a:stretch>
                  </pic:blipFill>
                  <pic:spPr>
                    <a:xfrm>
                      <a:off x="0" y="0"/>
                      <a:ext cx="5669280" cy="4049486"/>
                    </a:xfrm>
                    <a:prstGeom prst="rect"/>
                  </pic:spPr>
                </pic:pic>
              </a:graphicData>
            </a:graphic>
          </wp:inline>
        </w:drawing>
      </w:r>
    </w:p>
    <w:p>
      <w:pPr>
        <w:spacing w:before="0" w:after="160"/>
        <w:jc w:val="center"/>
      </w:pPr>
      <w:r>
        <w:rPr>
          <w:rFonts w:ascii="Calibri" w:hAnsi="Calibri"/>
          <w:i/>
          <w:color w:val="718096"/>
          <w:sz w:val="18"/>
        </w:rPr>
        <w:t>Figure: Full Correlation Matrix Across Preprocessed and Engineered Model-Ready Features</w:t>
      </w:r>
    </w:p>
    <w:p>
      <w:pPr>
        <w:pStyle w:val="Heading1"/>
        <w:keepNext/>
        <w:spacing w:before="320" w:after="120"/>
      </w:pPr>
      <w:r>
        <w:rPr>
          <w:rFonts w:ascii="Calibri" w:hAnsi="Calibri"/>
          <w:b/>
          <w:color w:val="1A365D"/>
          <w:sz w:val="32"/>
        </w:rPr>
        <w:t>9. Challenges Faced &amp; Solutions Implemented</w:t>
      </w:r>
    </w:p>
    <w:tbl>
      <w:tblPr>
        <w:tblW w:type="auto" w:w="0"/>
        <w:jc w:val="center"/>
        <w:tblLayout w:type="fixed"/>
        <w:tblLook w:firstColumn="1" w:firstRow="1" w:lastColumn="0" w:lastRow="0" w:noHBand="0" w:noVBand="1" w:val="04A0"/>
      </w:tblPr>
      <w:tblGrid>
        <w:gridCol w:w="9936"/>
      </w:tblGrid>
      <w:tr>
        <w:tc>
          <w:tcPr>
            <w:tcW w:type="dxa" w:w="9360"/>
            <w:shd w:fill="FFFAF0"/>
            <w:tcMar>
              <w:top w:w="140" w:type="dxa"/>
              <w:bottom w:w="140" w:type="dxa"/>
              <w:left w:w="200" w:type="dxa"/>
              <w:right w:w="180" w:type="dxa"/>
            </w:tcMar>
            <w:tcBorders>
              <w:top w:val="none"/>
              <w:left w:val="single" w:sz="36" w:space="0" w:color="DD6B20"/>
              <w:bottom w:val="none"/>
              <w:right w:val="none"/>
            </w:tcBorders>
          </w:tcPr>
          <w:p>
            <w:pPr>
              <w:spacing w:before="0" w:after="80" w:line="276" w:lineRule="auto"/>
            </w:pPr>
            <w:r>
              <w:rPr>
                <w:rFonts w:ascii="Calibri" w:hAnsi="Calibri"/>
                <w:b/>
                <w:color w:val="C05621"/>
                <w:sz w:val="21"/>
              </w:rPr>
              <w:t>📌 Challenge 1: Hidden Missingness in Total Charges</w:t>
              <w:br/>
            </w:r>
            <w:r>
              <w:rPr>
                <w:rFonts w:ascii="Calibri" w:hAnsi="Calibri"/>
                <w:color w:val="2D3748"/>
                <w:sz w:val="20"/>
              </w:rPr>
              <w:t>Problem: TotalCharges contained whitespace characters (' ') which masqueraded as non-null strings, bypassing standard `.isna()` filters.</w:t>
              <w:br/>
              <w:t>Root Cause: Legacy data export systems emitted blank spaces when customer tenure was 0 months.</w:t>
              <w:br/>
              <w:t>Solution: Implemented a multi-tier regex cleaner converting whitespace patterns to NaN, followed by logical formula reconstruction (`TenureMonths * MonthlyCharges`).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AF0"/>
            <w:tcMar>
              <w:top w:w="140" w:type="dxa"/>
              <w:bottom w:w="140" w:type="dxa"/>
              <w:left w:w="200" w:type="dxa"/>
              <w:right w:w="180" w:type="dxa"/>
            </w:tcMar>
            <w:tcBorders>
              <w:top w:val="none"/>
              <w:left w:val="single" w:sz="36" w:space="0" w:color="DD6B20"/>
              <w:bottom w:val="none"/>
              <w:right w:val="none"/>
            </w:tcBorders>
          </w:tcPr>
          <w:p>
            <w:pPr>
              <w:spacing w:before="0" w:after="80" w:line="276" w:lineRule="auto"/>
            </w:pPr>
            <w:r>
              <w:rPr>
                <w:rFonts w:ascii="Calibri" w:hAnsi="Calibri"/>
                <w:b/>
                <w:color w:val="C05621"/>
                <w:sz w:val="21"/>
              </w:rPr>
              <w:t>📌 Challenge 2: Multi-Format Datetime Heterogeneity &amp; Sentinel Dates</w:t>
              <w:br/>
            </w:r>
            <w:r>
              <w:rPr>
                <w:rFonts w:ascii="Calibri" w:hAnsi="Calibri"/>
                <w:color w:val="2D3748"/>
                <w:sz w:val="20"/>
              </w:rPr>
              <w:t>Problem: Date strings arrived across four conflicting date formats alongside corrupted string markers ('INVALID_DATE').</w:t>
              <w:br/>
              <w:t>Solution: Constructed a flexible parser with format fallbacks. Corrupted dates were dynamically reconstructed using the reference cutoff date minus the customer's recorded tenure duration.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180" w:type="dxa"/>
            </w:tcMar>
            <w:tcBorders>
              <w:top w:val="none"/>
              <w:left w:val="single" w:sz="36" w:space="0" w:color="38A169"/>
              <w:bottom w:val="none"/>
              <w:right w:val="none"/>
            </w:tcBorders>
          </w:tcPr>
          <w:p>
            <w:pPr>
              <w:spacing w:before="0" w:after="80" w:line="276" w:lineRule="auto"/>
            </w:pPr>
            <w:r>
              <w:rPr>
                <w:rFonts w:ascii="Calibri" w:hAnsi="Calibri"/>
                <w:b/>
                <w:color w:val="276749"/>
                <w:sz w:val="21"/>
              </w:rPr>
              <w:t>📌 Challenge 3: Preserving Sample Representation During Outlier Handling</w:t>
              <w:br/>
            </w:r>
            <w:r>
              <w:rPr>
                <w:rFonts w:ascii="Calibri" w:hAnsi="Calibri"/>
                <w:color w:val="2D3748"/>
                <w:sz w:val="20"/>
              </w:rPr>
              <w:t>Problem: Raw truncation / row dropping of extreme financial charges would have removed over 6% of the customer base, discarding valuable high-revenue customer profiles.</w:t>
              <w:br/>
              <w:t>Solution: Replaced row deletion with Tukey 1.5 × IQR Winsorization and Log1p transformation, stabilizing feature scale while preserving 100% of validated customer observations.</w:t>
            </w:r>
          </w:p>
        </w:tc>
      </w:tr>
    </w:tbl>
    <w:p>
      <w:pPr>
        <w:spacing w:after="80"/>
      </w:pPr>
    </w:p>
    <w:p>
      <w:pPr>
        <w:pStyle w:val="Heading1"/>
        <w:keepNext/>
        <w:spacing w:before="320" w:after="120"/>
      </w:pPr>
      <w:r>
        <w:rPr>
          <w:rFonts w:ascii="Calibri" w:hAnsi="Calibri"/>
          <w:b/>
          <w:color w:val="1A365D"/>
          <w:sz w:val="32"/>
        </w:rPr>
        <w:t>10. Downstream Impact on Machine Learning &amp; Analytics</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2304"/>
            <w:shd w:fill="1A365D"/>
            <w:tcMar>
              <w:top w:w="100" w:type="dxa"/>
              <w:bottom w:w="100" w:type="dxa"/>
              <w:left w:w="100" w:type="dxa"/>
              <w:right w:w="100" w:type="dxa"/>
            </w:tcMar>
          </w:tcPr>
          <w:p>
            <w:pPr>
              <w:spacing w:before="0" w:after="0"/>
              <w:jc w:val="left"/>
            </w:pPr>
            <w:r>
              <w:rPr>
                <w:rFonts w:ascii="Calibri" w:hAnsi="Calibri"/>
                <w:b/>
                <w:color w:val="FFFFFF"/>
                <w:sz w:val="19"/>
              </w:rPr>
              <w:t>Algorithm Family</w:t>
            </w:r>
          </w:p>
        </w:tc>
        <w:tc>
          <w:tcPr>
            <w:tcW w:type="dxa" w:w="3168"/>
            <w:shd w:fill="1A365D"/>
            <w:tcMar>
              <w:top w:w="100" w:type="dxa"/>
              <w:bottom w:w="100" w:type="dxa"/>
              <w:left w:w="100" w:type="dxa"/>
              <w:right w:w="100" w:type="dxa"/>
            </w:tcMar>
          </w:tcPr>
          <w:p>
            <w:pPr>
              <w:spacing w:before="0" w:after="0"/>
              <w:jc w:val="left"/>
            </w:pPr>
            <w:r>
              <w:rPr>
                <w:rFonts w:ascii="Calibri" w:hAnsi="Calibri"/>
                <w:b/>
                <w:color w:val="FFFFFF"/>
                <w:sz w:val="19"/>
              </w:rPr>
              <w:t>Preprocessed Enhancements</w:t>
            </w:r>
          </w:p>
        </w:tc>
        <w:tc>
          <w:tcPr>
            <w:tcW w:type="dxa" w:w="3888"/>
            <w:shd w:fill="1A365D"/>
            <w:tcMar>
              <w:top w:w="100" w:type="dxa"/>
              <w:bottom w:w="100" w:type="dxa"/>
              <w:left w:w="100" w:type="dxa"/>
              <w:right w:w="100" w:type="dxa"/>
            </w:tcMar>
          </w:tcPr>
          <w:p>
            <w:pPr>
              <w:spacing w:before="0" w:after="0"/>
              <w:jc w:val="left"/>
            </w:pPr>
            <w:r>
              <w:rPr>
                <w:rFonts w:ascii="Calibri" w:hAnsi="Calibri"/>
                <w:b/>
                <w:color w:val="FFFFFF"/>
                <w:sz w:val="19"/>
              </w:rPr>
              <w:t>Downstream Performance Impact</w:t>
            </w:r>
          </w:p>
        </w:tc>
      </w:tr>
      <w:tr>
        <w:tc>
          <w:tcPr>
            <w:tcW w:type="dxa" w:w="2304"/>
            <w:shd w:fill="FFFFFF"/>
            <w:tcMar>
              <w:top w:w="70" w:type="dxa"/>
              <w:bottom w:w="70" w:type="dxa"/>
              <w:left w:w="100" w:type="dxa"/>
              <w:right w:w="100" w:type="dxa"/>
            </w:tcMar>
          </w:tcPr>
          <w:p>
            <w:pPr>
              <w:spacing w:before="0" w:after="0"/>
              <w:jc w:val="left"/>
            </w:pPr>
            <w:r>
              <w:rPr>
                <w:rFonts w:ascii="Calibri" w:hAnsi="Calibri"/>
                <w:color w:val="2D3748"/>
                <w:sz w:val="18"/>
              </w:rPr>
              <w:t>Linear &amp; Logistic Models</w:t>
            </w:r>
          </w:p>
        </w:tc>
        <w:tc>
          <w:tcPr>
            <w:tcW w:type="dxa" w:w="3168"/>
            <w:shd w:fill="FFFFFF"/>
            <w:tcMar>
              <w:top w:w="70" w:type="dxa"/>
              <w:bottom w:w="70" w:type="dxa"/>
              <w:left w:w="100" w:type="dxa"/>
              <w:right w:w="100" w:type="dxa"/>
            </w:tcMar>
          </w:tcPr>
          <w:p>
            <w:pPr>
              <w:spacing w:before="0" w:after="0"/>
              <w:jc w:val="left"/>
            </w:pPr>
            <w:r>
              <w:rPr>
                <w:rFonts w:ascii="Calibri" w:hAnsi="Calibri"/>
                <w:color w:val="2D3748"/>
                <w:sz w:val="18"/>
              </w:rPr>
              <w:t>Multicollinearity removal, Log1p transform, Z-score scaling</w:t>
            </w:r>
          </w:p>
        </w:tc>
        <w:tc>
          <w:tcPr>
            <w:tcW w:type="dxa" w:w="3888"/>
            <w:shd w:fill="FFFFFF"/>
            <w:tcMar>
              <w:top w:w="70" w:type="dxa"/>
              <w:bottom w:w="70" w:type="dxa"/>
              <w:left w:w="100" w:type="dxa"/>
              <w:right w:w="100" w:type="dxa"/>
            </w:tcMar>
          </w:tcPr>
          <w:p>
            <w:pPr>
              <w:spacing w:before="0" w:after="0"/>
              <w:jc w:val="left"/>
            </w:pPr>
            <w:r>
              <w:rPr>
                <w:rFonts w:ascii="Calibri" w:hAnsi="Calibri"/>
                <w:color w:val="2D3748"/>
                <w:sz w:val="18"/>
              </w:rPr>
              <w:t>Prevents ill-conditioned Hessian matrices, eliminates coefficient inflation, improves gradient descent convergence rate.</w:t>
            </w:r>
          </w:p>
        </w:tc>
      </w:tr>
      <w:tr>
        <w:tc>
          <w:tcPr>
            <w:tcW w:type="dxa" w:w="2304"/>
            <w:shd w:fill="F7FAFC"/>
            <w:tcMar>
              <w:top w:w="70" w:type="dxa"/>
              <w:bottom w:w="70" w:type="dxa"/>
              <w:left w:w="100" w:type="dxa"/>
              <w:right w:w="100" w:type="dxa"/>
            </w:tcMar>
          </w:tcPr>
          <w:p>
            <w:pPr>
              <w:spacing w:before="0" w:after="0"/>
              <w:jc w:val="left"/>
            </w:pPr>
            <w:r>
              <w:rPr>
                <w:rFonts w:ascii="Calibri" w:hAnsi="Calibri"/>
                <w:color w:val="2D3748"/>
                <w:sz w:val="18"/>
              </w:rPr>
              <w:t>Tree-Based Ensembles (XGBoost, RF)</w:t>
            </w:r>
          </w:p>
        </w:tc>
        <w:tc>
          <w:tcPr>
            <w:tcW w:type="dxa" w:w="3168"/>
            <w:shd w:fill="F7FAFC"/>
            <w:tcMar>
              <w:top w:w="70" w:type="dxa"/>
              <w:bottom w:w="70" w:type="dxa"/>
              <w:left w:w="100" w:type="dxa"/>
              <w:right w:w="100" w:type="dxa"/>
            </w:tcMar>
          </w:tcPr>
          <w:p>
            <w:pPr>
              <w:spacing w:before="0" w:after="0"/>
              <w:jc w:val="left"/>
            </w:pPr>
            <w:r>
              <w:rPr>
                <w:rFonts w:ascii="Calibri" w:hAnsi="Calibri"/>
                <w:color w:val="2D3748"/>
                <w:sz w:val="18"/>
              </w:rPr>
              <w:t>Categorical unification, high-value feature engineering</w:t>
            </w:r>
          </w:p>
        </w:tc>
        <w:tc>
          <w:tcPr>
            <w:tcW w:type="dxa" w:w="3888"/>
            <w:shd w:fill="F7FAFC"/>
            <w:tcMar>
              <w:top w:w="70" w:type="dxa"/>
              <w:bottom w:w="70" w:type="dxa"/>
              <w:left w:w="100" w:type="dxa"/>
              <w:right w:w="100" w:type="dxa"/>
            </w:tcMar>
          </w:tcPr>
          <w:p>
            <w:pPr>
              <w:spacing w:before="0" w:after="0"/>
              <w:jc w:val="left"/>
            </w:pPr>
            <w:r>
              <w:rPr>
                <w:rFonts w:ascii="Calibri" w:hAnsi="Calibri"/>
                <w:color w:val="2D3748"/>
                <w:sz w:val="18"/>
              </w:rPr>
              <w:t>Provides direct split nodes on engineered service density and tenure cohorts, reducing tree depth requirements.</w:t>
            </w:r>
          </w:p>
        </w:tc>
      </w:tr>
      <w:tr>
        <w:tc>
          <w:tcPr>
            <w:tcW w:type="dxa" w:w="2304"/>
            <w:shd w:fill="FFFFFF"/>
            <w:tcMar>
              <w:top w:w="70" w:type="dxa"/>
              <w:bottom w:w="70" w:type="dxa"/>
              <w:left w:w="100" w:type="dxa"/>
              <w:right w:w="100" w:type="dxa"/>
            </w:tcMar>
          </w:tcPr>
          <w:p>
            <w:pPr>
              <w:spacing w:before="0" w:after="0"/>
              <w:jc w:val="left"/>
            </w:pPr>
            <w:r>
              <w:rPr>
                <w:rFonts w:ascii="Calibri" w:hAnsi="Calibri"/>
                <w:color w:val="2D3748"/>
                <w:sz w:val="18"/>
              </w:rPr>
              <w:t>Distance-Based (KNN, SVM, K-Means)</w:t>
            </w:r>
          </w:p>
        </w:tc>
        <w:tc>
          <w:tcPr>
            <w:tcW w:type="dxa" w:w="3168"/>
            <w:shd w:fill="FFFFFF"/>
            <w:tcMar>
              <w:top w:w="70" w:type="dxa"/>
              <w:bottom w:w="70" w:type="dxa"/>
              <w:left w:w="100" w:type="dxa"/>
              <w:right w:w="100" w:type="dxa"/>
            </w:tcMar>
          </w:tcPr>
          <w:p>
            <w:pPr>
              <w:spacing w:before="0" w:after="0"/>
              <w:jc w:val="left"/>
            </w:pPr>
            <w:r>
              <w:rPr>
                <w:rFonts w:ascii="Calibri" w:hAnsi="Calibri"/>
                <w:color w:val="2D3748"/>
                <w:sz w:val="18"/>
              </w:rPr>
              <w:t>StandardScaler normalization across continuous metrics</w:t>
            </w:r>
          </w:p>
        </w:tc>
        <w:tc>
          <w:tcPr>
            <w:tcW w:type="dxa" w:w="3888"/>
            <w:shd w:fill="FFFFFF"/>
            <w:tcMar>
              <w:top w:w="70" w:type="dxa"/>
              <w:bottom w:w="70" w:type="dxa"/>
              <w:left w:w="100" w:type="dxa"/>
              <w:right w:w="100" w:type="dxa"/>
            </w:tcMar>
          </w:tcPr>
          <w:p>
            <w:pPr>
              <w:spacing w:before="0" w:after="0"/>
              <w:jc w:val="left"/>
            </w:pPr>
            <w:r>
              <w:rPr>
                <w:rFonts w:ascii="Calibri" w:hAnsi="Calibri"/>
                <w:color w:val="2D3748"/>
                <w:sz w:val="18"/>
              </w:rPr>
              <w:t>Eliminates metric dominance where large dollar values ($4,000+) overpower small tenure intervals (1-72 months).</w:t>
            </w:r>
          </w:p>
        </w:tc>
      </w:tr>
      <w:tr>
        <w:tc>
          <w:tcPr>
            <w:tcW w:type="dxa" w:w="2304"/>
            <w:shd w:fill="F7FAFC"/>
            <w:tcMar>
              <w:top w:w="70" w:type="dxa"/>
              <w:bottom w:w="70" w:type="dxa"/>
              <w:left w:w="100" w:type="dxa"/>
              <w:right w:w="100" w:type="dxa"/>
            </w:tcMar>
          </w:tcPr>
          <w:p>
            <w:pPr>
              <w:spacing w:before="0" w:after="0"/>
              <w:jc w:val="left"/>
            </w:pPr>
            <w:r>
              <w:rPr>
                <w:rFonts w:ascii="Calibri" w:hAnsi="Calibri"/>
                <w:color w:val="2D3748"/>
                <w:sz w:val="18"/>
              </w:rPr>
              <w:t>Neural Networks / Deep Learning</w:t>
            </w:r>
          </w:p>
        </w:tc>
        <w:tc>
          <w:tcPr>
            <w:tcW w:type="dxa" w:w="3168"/>
            <w:shd w:fill="F7FAFC"/>
            <w:tcMar>
              <w:top w:w="70" w:type="dxa"/>
              <w:bottom w:w="70" w:type="dxa"/>
              <w:left w:w="100" w:type="dxa"/>
              <w:right w:w="100" w:type="dxa"/>
            </w:tcMar>
          </w:tcPr>
          <w:p>
            <w:pPr>
              <w:spacing w:before="0" w:after="0"/>
              <w:jc w:val="left"/>
            </w:pPr>
            <w:r>
              <w:rPr>
                <w:rFonts w:ascii="Calibri" w:hAnsi="Calibri"/>
                <w:color w:val="2D3748"/>
                <w:sz w:val="18"/>
              </w:rPr>
              <w:t>Zero mean / unit variance scaling, clean one-hot matrices</w:t>
            </w:r>
          </w:p>
        </w:tc>
        <w:tc>
          <w:tcPr>
            <w:tcW w:type="dxa" w:w="3888"/>
            <w:shd w:fill="F7FAFC"/>
            <w:tcMar>
              <w:top w:w="70" w:type="dxa"/>
              <w:bottom w:w="70" w:type="dxa"/>
              <w:left w:w="100" w:type="dxa"/>
              <w:right w:w="100" w:type="dxa"/>
            </w:tcMar>
          </w:tcPr>
          <w:p>
            <w:pPr>
              <w:spacing w:before="0" w:after="0"/>
              <w:jc w:val="left"/>
            </w:pPr>
            <w:r>
              <w:rPr>
                <w:rFonts w:ascii="Calibri" w:hAnsi="Calibri"/>
                <w:color w:val="2D3748"/>
                <w:sz w:val="18"/>
              </w:rPr>
              <w:t>Prevents vanishing / exploding gradients and stabilizes batch normalization layers.</w:t>
            </w:r>
          </w:p>
        </w:tc>
      </w:tr>
    </w:tbl>
    <w:p>
      <w:pPr>
        <w:pStyle w:val="Heading1"/>
        <w:keepNext/>
        <w:spacing w:before="320" w:after="120"/>
      </w:pPr>
      <w:r>
        <w:rPr>
          <w:rFonts w:ascii="Calibri" w:hAnsi="Calibri"/>
          <w:b/>
          <w:color w:val="1A365D"/>
          <w:sz w:val="32"/>
        </w:rPr>
        <w:t>11. Conclusion &amp; Summary of Deliverables</w:t>
      </w:r>
    </w:p>
    <w:p>
      <w:r>
        <w:t>The Week 1 Data Acquisition, Cleaning, and Preprocessing task has been executed with industry-grade rigor. All data quality defects—including structural missingness, duplicate entities, out-of-range sensor/financial values, heterogeneous datetimes, and distribution outliers—have been systematically diagnosed, resolved, and validated. The resulting pipeline produces a robust 26-feature dataset ready for advanced predictive modeling and unsupervised customer segmentation.</w:t>
      </w:r>
    </w:p>
    <w:tbl>
      <w:tblPr>
        <w:tblW w:type="auto" w:w="0"/>
        <w:jc w:val="center"/>
        <w:tblLayout w:type="fixed"/>
        <w:tblLook w:firstColumn="1" w:firstRow="1" w:lastColumn="0" w:lastRow="0" w:noHBand="0" w:noVBand="1" w:val="04A0"/>
      </w:tblPr>
      <w:tblGrid>
        <w:gridCol w:w="9936"/>
      </w:tblGrid>
      <w:tr>
        <w:tc>
          <w:tcPr>
            <w:tcW w:type="dxa" w:w="9360"/>
            <w:shd w:fill="F0FFF4"/>
            <w:tcMar>
              <w:top w:w="140" w:type="dxa"/>
              <w:bottom w:w="140" w:type="dxa"/>
              <w:left w:w="200" w:type="dxa"/>
              <w:right w:w="180" w:type="dxa"/>
            </w:tcMar>
            <w:tcBorders>
              <w:top w:val="none"/>
              <w:left w:val="single" w:sz="36" w:space="0" w:color="38A169"/>
              <w:bottom w:val="none"/>
              <w:right w:val="none"/>
            </w:tcBorders>
          </w:tcPr>
          <w:p>
            <w:pPr>
              <w:spacing w:before="0" w:after="80" w:line="276" w:lineRule="auto"/>
            </w:pPr>
            <w:r>
              <w:rPr>
                <w:rFonts w:ascii="Calibri" w:hAnsi="Calibri"/>
                <w:b/>
                <w:color w:val="276749"/>
                <w:sz w:val="21"/>
              </w:rPr>
              <w:t>📌 Deliverables Inventory</w:t>
              <w:br/>
            </w:r>
            <w:r>
              <w:rPr>
                <w:rFonts w:ascii="Calibri" w:hAnsi="Calibri"/>
                <w:color w:val="2D3748"/>
                <w:sz w:val="20"/>
              </w:rPr>
              <w:t>1. Complete Technical Report: 'Week_1_Data_Acquisition_Cleaning_Report.docx'</w:t>
              <w:br/>
              <w:t>2. End-to-End Execution Script: 'data_preprocessing_pipeline.py'</w:t>
              <w:br/>
              <w:t>3. Interactive Notebook: 'Week_1_Data_Cleaning_and_Preprocessing.ipynb'</w:t>
              <w:br/>
              <w:t>4. Raw Dataset: 'raw_customer_dataset.csv' (2,500 rows, 20 features)</w:t>
              <w:br/>
              <w:t>5. Cleaned Dataset: 'cleaned_customer_dataset.csv' (2,480 rows, 22 features)</w:t>
              <w:br/>
              <w:t>6. ML-Ready Dataset: 'preprocessed_model_ready_dataset.csv' (2,480 rows, 26 features)</w:t>
              <w:br/>
              <w:t>7. Diagnostic Asset Visualizations: 8 High-Resolution PNGs in 'assets/' directory.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