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D939" w14:textId="77777777" w:rsidR="008E5291" w:rsidRDefault="00000000">
      <w:pPr>
        <w:spacing w:after="40"/>
      </w:pPr>
      <w:r>
        <w:rPr>
          <w:rFonts w:ascii="Calibri" w:hAnsi="Calibri"/>
          <w:b/>
          <w:color w:val="0D9488"/>
          <w:sz w:val="19"/>
        </w:rPr>
        <w:t>VIRTUAL DATA SCIENCE EXPLORER INTERNSHIP | WEEK 1 DELIVERABLE</w:t>
      </w:r>
    </w:p>
    <w:p w14:paraId="78F45DF5" w14:textId="77777777" w:rsidR="008E5291" w:rsidRDefault="00000000">
      <w:pPr>
        <w:spacing w:before="80" w:after="80"/>
      </w:pPr>
      <w:r>
        <w:rPr>
          <w:rFonts w:ascii="Calibri" w:hAnsi="Calibri"/>
          <w:b/>
          <w:color w:val="0F172A"/>
          <w:sz w:val="48"/>
        </w:rPr>
        <w:t>Data Science Project Planning and Strategy Design</w:t>
      </w:r>
    </w:p>
    <w:p w14:paraId="51C582AE" w14:textId="77777777" w:rsidR="008E5291" w:rsidRDefault="00000000">
      <w:pPr>
        <w:spacing w:after="280"/>
      </w:pPr>
      <w:r>
        <w:rPr>
          <w:rFonts w:ascii="Calibri" w:hAnsi="Calibri"/>
          <w:i/>
          <w:color w:val="475569"/>
          <w:sz w:val="26"/>
        </w:rPr>
        <w:t>Project RetainAI: Enterprise Predictive Churn &amp; Retention Optimization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E5291" w14:paraId="4FB77B5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1EA9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Internship Program: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FDE1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Virtual Data Science Explorer Intern (YuvaIntern)</w:t>
            </w:r>
          </w:p>
        </w:tc>
      </w:tr>
      <w:tr w:rsidR="008E5291" w14:paraId="557D628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1025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Module &amp; Milestone: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31FD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Week 1: Project Conceptualization, Architecture &amp; Strategy Design</w:t>
            </w:r>
          </w:p>
        </w:tc>
      </w:tr>
      <w:tr w:rsidR="008E5291" w14:paraId="7609C23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5737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Primary Technology Stack: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BD16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Python 3.11+, Scikit-Learn, XGBoost, LightGBM, MLflow, FastAPI, Streamlit</w:t>
            </w:r>
          </w:p>
        </w:tc>
      </w:tr>
      <w:tr w:rsidR="008E5291" w14:paraId="1974CB8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A8C6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Project Status &amp; Allocation: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B5A1" w14:textId="77777777" w:rsidR="008E5291" w:rsidRDefault="00000000"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Approved Strategy &amp; Work Breakdown Structure (Total: 33.0 Allocated Hours)</w:t>
            </w:r>
          </w:p>
        </w:tc>
      </w:tr>
    </w:tbl>
    <w:p w14:paraId="30B03B41" w14:textId="77777777" w:rsidR="008E5291" w:rsidRDefault="008E5291">
      <w:pPr>
        <w:spacing w:after="240"/>
      </w:pPr>
    </w:p>
    <w:p w14:paraId="73DDFE35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t>1. Introduction &amp; Project Background</w:t>
      </w:r>
    </w:p>
    <w:p w14:paraId="266E300A" w14:textId="77777777" w:rsidR="008E5291" w:rsidRDefault="00000000">
      <w:pPr>
        <w:spacing w:after="120"/>
      </w:pPr>
      <w:r>
        <w:t>In modern subscription-based business models (SaaS, FinTech, Telecommunications, and Digital Media), customer retention represents the single most critical driver of long-term unit economics and enterprise valuation. Acquiring a new customer is empirically estimated to cost between 5 to 7 times more than retaining an existing subscriber. However, conventional customer relationship management (CRM) workflows remain predominantly reactive: retention teams typically attempt rescue interventions only after a customer initiates cancellation or when usage drops to zero, at which point the probability of salvage is below 12%.</w:t>
      </w:r>
    </w:p>
    <w:p w14:paraId="6C35C1FA" w14:textId="77777777" w:rsidR="008E5291" w:rsidRDefault="00000000">
      <w:pPr>
        <w:spacing w:after="120"/>
      </w:pPr>
      <w:r>
        <w:t xml:space="preserve">This project proposes </w:t>
      </w:r>
      <w:r>
        <w:rPr>
          <w:b/>
        </w:rPr>
        <w:t>Project RetainAI</w:t>
      </w:r>
      <w:r>
        <w:t>, a comprehensive, end-to-end predictive machine learning and customer retention optimization system designed in Python. By synthesizing multi-source telemetry data—including product engagement clickstream, subscription billing history, support ticket sentiment, and customer demographics—the platform forecasts subscriber churn risk 30 to 60 days in advance of potential attrition.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E5291" w14:paraId="1C93B4F7" w14:textId="77777777">
        <w:trPr>
          <w:jc w:val="center"/>
        </w:trPr>
        <w:tc>
          <w:tcPr>
            <w:tcW w:w="9360" w:type="dxa"/>
            <w:tcBorders>
              <w:left w:val="single" w:sz="24" w:space="0" w:color="16A34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5F858F" w14:textId="77777777" w:rsidR="008E5291" w:rsidRDefault="00000000">
            <w:pPr>
              <w:spacing w:after="40"/>
            </w:pPr>
            <w:r>
              <w:rPr>
                <w:rFonts w:ascii="Calibri" w:hAnsi="Calibri"/>
                <w:b/>
                <w:color w:val="16A34A"/>
                <w:sz w:val="20"/>
              </w:rPr>
              <w:t>📌 CORE BUSINESS JUSTIFICATION &amp; VALUE HYPOTHESIS</w:t>
            </w:r>
            <w:r>
              <w:rPr>
                <w:rFonts w:ascii="Calibri" w:hAnsi="Calibri"/>
                <w:b/>
                <w:color w:val="16A34A"/>
                <w:sz w:val="20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By shifting customer success operations from reactive salvage campaigns to algorithmic, proactive early-warning triggers, enterprise organizations can reduce annual subscriber attrition by 18% to 25%, while optimizing promotional discount allocation through explainable AI (SHAP-driven prescriptive recommendations).</w:t>
            </w:r>
          </w:p>
        </w:tc>
      </w:tr>
    </w:tbl>
    <w:p w14:paraId="69921E6D" w14:textId="77777777" w:rsidR="008E5291" w:rsidRDefault="008E5291">
      <w:pPr>
        <w:spacing w:after="120"/>
      </w:pPr>
    </w:p>
    <w:p w14:paraId="25A62C5E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lastRenderedPageBreak/>
        <w:t>2. Project Objectives &amp; Scope Specification</w:t>
      </w:r>
    </w:p>
    <w:p w14:paraId="7300D3C8" w14:textId="77777777" w:rsidR="008E5291" w:rsidRDefault="00000000">
      <w:pPr>
        <w:spacing w:after="120"/>
      </w:pPr>
      <w:r>
        <w:t>To ensure rigorous execution and measurable business impact, the project establishes unambiguous SMART (Specific, Measurable, Achievable, Relevant, and Time-bound) objectives alongside clearly defined scope boundaries.</w:t>
      </w:r>
    </w:p>
    <w:p w14:paraId="01C9A45C" w14:textId="77777777" w:rsidR="008E5291" w:rsidRDefault="00000000">
      <w:pPr>
        <w:pStyle w:val="Heading2"/>
      </w:pPr>
      <w:r>
        <w:rPr>
          <w:rFonts w:ascii="Calibri" w:hAnsi="Calibri"/>
          <w:color w:val="0D9488"/>
        </w:rPr>
        <w:t>2.1 SMART Project Objectives</w:t>
      </w:r>
    </w:p>
    <w:p w14:paraId="2FB304E9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Technical Model Performance: </w:t>
      </w:r>
      <w:r>
        <w:t>Develop and benchmark gradient-boosted classification models (XGBoost, LightGBM, CatBoost) achieving an Area Under the Precision-Recall Curve (PR-AUC) &gt;= 0.82 and ROC-AUC &gt;= 0.88 on an out-of-time test dataset, outperforming baseline logistic regression by at least 15%.</w:t>
      </w:r>
    </w:p>
    <w:p w14:paraId="01D02DED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Lead Time &amp; Proactive Window: </w:t>
      </w:r>
      <w:r>
        <w:t>Deliver accurate churn likelihood scores with an actionable prediction lead horizon of 30 to 60 days prior to contract renewal or anticipated drop-off date, allowing customer success representatives ample intervention time.</w:t>
      </w:r>
    </w:p>
    <w:p w14:paraId="2A7E87F5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Model Interpretability &amp; Prescriptive Rules: </w:t>
      </w:r>
      <w:r>
        <w:t>Integrate SHAP (SHapley Additive exPlanations) and LIME to generate granular, subscriber-level feature attribution charts, explaining top negative drivers (e.g., login inactivity, open support tickets, billing discrepancies).</w:t>
      </w:r>
    </w:p>
    <w:p w14:paraId="533297F3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Operational Serving Architecture: </w:t>
      </w:r>
      <w:r>
        <w:t>Architect a low-latency Python FastAPI microservice capable of returning batch and real-time churn probabilities in under 200 milliseconds, coupled with an interactive Streamlit operations dashboard.</w:t>
      </w:r>
    </w:p>
    <w:p w14:paraId="56FC1CDE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Financial Impact &amp; ROI: </w:t>
      </w:r>
      <w:r>
        <w:t>Deliver an estimated net annual revenue preservation of $450,000 to $850,000 for a 100,000-subscriber cohort by prioritizing targeted retention incentives based on Customer Lifetime Value (CLV) weighting.</w:t>
      </w:r>
    </w:p>
    <w:p w14:paraId="20EC5774" w14:textId="77777777" w:rsidR="008E5291" w:rsidRDefault="00000000">
      <w:pPr>
        <w:pStyle w:val="Heading2"/>
      </w:pPr>
      <w:r>
        <w:rPr>
          <w:rFonts w:ascii="Calibri" w:hAnsi="Calibri"/>
          <w:color w:val="0D9488"/>
        </w:rPr>
        <w:t>2.2 In-Scope vs. Out-of-Scope Boundary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5291" w14:paraId="5406F495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E3B8B6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Project Dimension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31E11B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In-Scope (Fully Addressed)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958B20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Out-of-Scope (Future Iterations)</w:t>
            </w:r>
          </w:p>
        </w:tc>
      </w:tr>
      <w:tr w:rsidR="008E5291" w14:paraId="00BB601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1ED8B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Data Pipeline &amp; Sources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2B92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Ingestion of tabular structured CRM, billing history, aggregated app usage logs, and NLP sentiment scores from support ticket text.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6B85B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Real-time streaming raw clickstream ingestion via Apache Flink or distributed Kafka clusters at petabyte scale.</w:t>
            </w:r>
          </w:p>
        </w:tc>
      </w:tr>
      <w:tr w:rsidR="008E5291" w14:paraId="1583BEA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119F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Feature Engineering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DA52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Temporal aggregation (7-day, 30-day, 90-day velocity metrics), RFM scoring, ratio features, and interaction terms.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64DCE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Computer vision models or unstructured audio call recording transcription.</w:t>
            </w:r>
          </w:p>
        </w:tc>
      </w:tr>
      <w:tr w:rsidR="008E5291" w14:paraId="6C2C429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5552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Algorithm Families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055CA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Tree-based ensembles (XGBoost, LightGBM, CatBoost), regularized logistic baselines, random forests, and survival analysis.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80F3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Deep multi-layer recurrent neural networks (RNN/LSTM) requiring dedicated multi-GPU cluster hardware.</w:t>
            </w:r>
          </w:p>
        </w:tc>
      </w:tr>
      <w:tr w:rsidR="008E5291" w14:paraId="4BB6BC6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368B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Deployment &amp; Serving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4B71B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Containerized FastAPI REST API endpoints, Docker containerization, Streamlit visualization UI, and SQLite/PostgreSQL database.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14813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Multi-region Kubernetes auto-scaling orchestration and enterprise SSO/LDAP corporate authentication integration.</w:t>
            </w:r>
          </w:p>
        </w:tc>
      </w:tr>
      <w:tr w:rsidR="008E5291" w14:paraId="0CEA9D6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65113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Model Monitoring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10C5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Evidently AI automated drift detection reports (covariate shift, PSI, KS-test) and automated retraining threshold triggers.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30F31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Automated zero-human self-healing model updates directly to live production financial systems.</w:t>
            </w:r>
          </w:p>
        </w:tc>
      </w:tr>
    </w:tbl>
    <w:p w14:paraId="1FA425CC" w14:textId="77777777" w:rsidR="008E5291" w:rsidRDefault="008E5291"/>
    <w:p w14:paraId="774AC63E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t>3. Methodology &amp; Strategic Architecture</w:t>
      </w:r>
    </w:p>
    <w:p w14:paraId="0AA42F23" w14:textId="77777777" w:rsidR="008E5291" w:rsidRDefault="00000000">
      <w:pPr>
        <w:spacing w:after="120"/>
      </w:pPr>
      <w:r>
        <w:t>The project adopts an extended CRISP-DM (Cross-Industry Standard Process for Data Mining) methodology, augmented with modern MLOps principles, automated data validation, and feedback monitoring loops. Below is the end-to-end data science lifecycle and pipeline architecture developed for Project RetainAI.</w:t>
      </w:r>
    </w:p>
    <w:p w14:paraId="57B119DF" w14:textId="77777777" w:rsidR="008E5291" w:rsidRDefault="008E5291">
      <w:pPr>
        <w:spacing w:before="160" w:after="40"/>
        <w:jc w:val="center"/>
      </w:pPr>
    </w:p>
    <w:p w14:paraId="403A56C7" w14:textId="77777777" w:rsidR="008E5291" w:rsidRDefault="00000000">
      <w:r>
        <w:rPr>
          <w:noProof/>
        </w:rPr>
        <w:drawing>
          <wp:inline distT="0" distB="0" distL="0" distR="0" wp14:anchorId="1AAEC490" wp14:editId="3DB79A0F">
            <wp:extent cx="5943600" cy="34057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lifecycle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F72C" w14:textId="77777777" w:rsidR="008E5291" w:rsidRDefault="00000000">
      <w:pPr>
        <w:jc w:val="center"/>
      </w:pPr>
      <w:r>
        <w:rPr>
          <w:rFonts w:ascii="Calibri" w:hAnsi="Calibri"/>
          <w:i/>
          <w:color w:val="64748B"/>
          <w:sz w:val="18"/>
        </w:rPr>
        <w:t>Figure 1: Project RetainAI End-to-End Data Science Lifecycle &amp; Pipeline Flowchart</w:t>
      </w:r>
    </w:p>
    <w:p w14:paraId="7A5A1584" w14:textId="77777777" w:rsidR="008E5291" w:rsidRDefault="00000000">
      <w:pPr>
        <w:pStyle w:val="Heading2"/>
      </w:pPr>
      <w:r>
        <w:rPr>
          <w:rFonts w:ascii="Calibri" w:hAnsi="Calibri"/>
          <w:color w:val="0D9488"/>
          <w:sz w:val="24"/>
        </w:rPr>
        <w:t>Phase 1: Data Acquisition, Ingestion &amp; Schema Contracts</w:t>
      </w:r>
    </w:p>
    <w:p w14:paraId="6CF8748B" w14:textId="77777777" w:rsidR="008E5291" w:rsidRDefault="00000000">
      <w:pPr>
        <w:spacing w:after="120"/>
      </w:pPr>
      <w:r>
        <w:t>A rigorous data collection strategy combining three fundamental data silos:</w:t>
      </w:r>
      <w:r>
        <w:br/>
        <w:t>1. Customer Profile &amp; Demographics (Account tenure, contract type, payment method, geographic territory, industry vertical).</w:t>
      </w:r>
      <w:r>
        <w:br/>
        <w:t>2. Behavioral Engagement Telemetry (Daily active minutes, feature adoption breadth, login frequency, API call velocity over 7d/30d/90d intervals).</w:t>
      </w:r>
      <w:r>
        <w:br/>
        <w:t>3. Customer Service &amp; Support Signals (Ticket volume, resolution time, customer satisfaction scores (CSAT), and NLP sentiment polarity derived from ticket summaries).</w:t>
      </w:r>
      <w:r>
        <w:br/>
        <w:t>Data integrity is established using Great Expectations to validate schema types, non-null constraints, and valid ranges before ingestion into staging tables.</w:t>
      </w:r>
    </w:p>
    <w:p w14:paraId="129BE1A0" w14:textId="77777777" w:rsidR="008E5291" w:rsidRDefault="00000000">
      <w:pPr>
        <w:pStyle w:val="Heading2"/>
      </w:pPr>
      <w:r>
        <w:rPr>
          <w:rFonts w:ascii="Calibri" w:hAnsi="Calibri"/>
          <w:color w:val="0D9488"/>
          <w:sz w:val="24"/>
        </w:rPr>
        <w:t>Phase 2: Data Preprocessing, Cleaning &amp; Pipeline Design</w:t>
      </w:r>
    </w:p>
    <w:p w14:paraId="012B649C" w14:textId="77777777" w:rsidR="008E5291" w:rsidRDefault="00000000">
      <w:pPr>
        <w:spacing w:after="120"/>
      </w:pPr>
      <w:r>
        <w:t>A modular, leakage-free data cleaning pipeline built using Scikit-Learn Pipelines and Polars/Pandas:</w:t>
      </w:r>
      <w:r>
        <w:br/>
        <w:t>• Missing Data Imputation: Categorical variables imputed with dedicated 'Missing' tokens; numerical values imputed using median/iterative KNN based on subscriber tier cohorts.</w:t>
      </w:r>
      <w:r>
        <w:br/>
        <w:t>• Outlier Treatment: Winsorization (capping at 1st and 99th percentiles) on skewed numerical metrics (e.g., data consumption, session length) to stabilize gradient descent without discarding critical power-user data.</w:t>
      </w:r>
      <w:r>
        <w:br/>
        <w:t>• Leakage Prevention: Strict temporal splitting (Training on Months 1-8, Validation on Months 9-10, Testing on Months 11-12) to ensure no future behavioral information leaks into historical training matrices.</w:t>
      </w:r>
    </w:p>
    <w:p w14:paraId="78BF71F6" w14:textId="77777777" w:rsidR="008E5291" w:rsidRDefault="00000000">
      <w:pPr>
        <w:pStyle w:val="Heading2"/>
      </w:pPr>
      <w:r>
        <w:rPr>
          <w:rFonts w:ascii="Calibri" w:hAnsi="Calibri"/>
          <w:color w:val="0D9488"/>
          <w:sz w:val="24"/>
        </w:rPr>
        <w:t>Phase 3: Exploratory Data Analysis (EDA) &amp; Behavioral Profiling</w:t>
      </w:r>
    </w:p>
    <w:p w14:paraId="6383DA89" w14:textId="77777777" w:rsidR="008E5291" w:rsidRDefault="00000000">
      <w:pPr>
        <w:spacing w:after="120"/>
      </w:pPr>
      <w:r>
        <w:t>Systematic statistical exploration to uncover churn dynamics:</w:t>
      </w:r>
      <w:r>
        <w:br/>
        <w:t>• Univariate &amp; Bivariate Distributions: Identifying distribution skewness, high-kurtosis engagement metrics, and class distribution (e.g., 16% baseline churn rate).</w:t>
      </w:r>
      <w:r>
        <w:br/>
        <w:t>• Cohort Retention Heatmaps: Analyzing subscriber retention curves grouped by acquisition channel and onboarding vintage.</w:t>
      </w:r>
      <w:r>
        <w:br/>
        <w:t>• Correlation &amp; Collinearity Screening: Calculating Pearson/Spearman correlation matrices and Variance Inflation Factors (VIF) to eliminate redundant collinear predictors.</w:t>
      </w:r>
    </w:p>
    <w:p w14:paraId="54639C00" w14:textId="77777777" w:rsidR="008E5291" w:rsidRDefault="00000000">
      <w:pPr>
        <w:pStyle w:val="Heading2"/>
      </w:pPr>
      <w:r>
        <w:rPr>
          <w:rFonts w:ascii="Calibri" w:hAnsi="Calibri"/>
          <w:color w:val="0D9488"/>
          <w:sz w:val="24"/>
        </w:rPr>
        <w:t>Phase 4: Advanced Feature Engineering &amp; Feature Store Formulation</w:t>
      </w:r>
    </w:p>
    <w:p w14:paraId="0C648ADD" w14:textId="77777777" w:rsidR="008E5291" w:rsidRDefault="00000000">
      <w:pPr>
        <w:spacing w:after="120"/>
      </w:pPr>
      <w:r>
        <w:t>Transforming raw transactional records into high-signal predictive features:</w:t>
      </w:r>
      <w:r>
        <w:br/>
        <w:t>• Recency, Frequency, Monetary (RFM) Scores: Quantifying recent activity recency (days since last login), transaction frequency, and total lifetime spend.</w:t>
      </w:r>
      <w:r>
        <w:br/>
        <w:t>• Velocity &amp; Momentum Indicators: Computing rolling ratio features (e.g., [Activity Last 7 Days] / [Activity Last 30 Days]) to detect sudden drop-offs in product usage.</w:t>
      </w:r>
      <w:r>
        <w:br/>
        <w:t>• Contract &amp; Payment Health: Days until renewal, count of failed billing retries, and upgrade/downgrade event counts.</w:t>
      </w:r>
      <w:r>
        <w:br/>
        <w:t>• Text NLP Features: DistilBERT / VADER sentiment polarity and complaint keyword counts extracted from customer service transcripts.</w:t>
      </w:r>
    </w:p>
    <w:p w14:paraId="082FF21E" w14:textId="77777777" w:rsidR="008E5291" w:rsidRDefault="00000000">
      <w:pPr>
        <w:pStyle w:val="Heading2"/>
      </w:pPr>
      <w:r>
        <w:rPr>
          <w:rFonts w:ascii="Calibri" w:hAnsi="Calibri"/>
          <w:color w:val="0D9488"/>
          <w:sz w:val="24"/>
        </w:rPr>
        <w:t>Phase 5: Machine Learning Modeling Strategy &amp; Hyperparameter Optimization</w:t>
      </w:r>
    </w:p>
    <w:p w14:paraId="3268145C" w14:textId="77777777" w:rsidR="008E5291" w:rsidRDefault="00000000">
      <w:pPr>
        <w:spacing w:after="120"/>
      </w:pPr>
      <w:r>
        <w:t>A multi-model comparative architecture:</w:t>
      </w:r>
      <w:r>
        <w:br/>
        <w:t>• Baseline Model: Regularized Logistic Regression with L1/L2 penalties and standard scaling to establish an interpretable benchmark.</w:t>
      </w:r>
      <w:r>
        <w:br/>
        <w:t>• Primary Classifiers: Extreme Gradient Boosting (XGBoost), LightGBM, and CatBoost (utilizing native categorical handling).</w:t>
      </w:r>
      <w:r>
        <w:br/>
        <w:t>• Survival Analysis: Cox Proportional Hazards model to estimate time-to-churn and dynamic hazard rates across subscriber lifespans.</w:t>
      </w:r>
      <w:r>
        <w:br/>
        <w:t>• Optimization: Bayesian Hyperparameter Optimization via Optuna (50 trials) optimizing PR-AUC under 5-fold Stratified Time-Series Split cross-validation.</w:t>
      </w:r>
    </w:p>
    <w:p w14:paraId="5DE1CE62" w14:textId="77777777" w:rsidR="008E5291" w:rsidRDefault="00000000">
      <w:pPr>
        <w:pStyle w:val="Heading2"/>
      </w:pPr>
      <w:r>
        <w:rPr>
          <w:rFonts w:ascii="Calibri" w:hAnsi="Calibri"/>
          <w:color w:val="0D9488"/>
          <w:sz w:val="24"/>
        </w:rPr>
        <w:t>Phase 6: Model Evaluation, Validation &amp; Business Cost Matrix</w:t>
      </w:r>
    </w:p>
    <w:p w14:paraId="3AB771F3" w14:textId="77777777" w:rsidR="008E5291" w:rsidRDefault="00000000">
      <w:pPr>
        <w:spacing w:after="120"/>
      </w:pPr>
      <w:r>
        <w:t>Evaluation tailored to imbalanced classification and financial business impact:</w:t>
      </w:r>
      <w:r>
        <w:br/>
        <w:t>• Primary Technical Metrics: Precision-Recall AUC (PR-AUC), Receiver Operating Characteristic AUC (ROC-AUC), F1-Score at optimal classification threshold, and Brier Reliability Score.</w:t>
      </w:r>
      <w:r>
        <w:br/>
        <w:t>• Business Cost-Utility Matrix: Explicitly evaluating False Negatives (unidentified churner losing full customer lifetime value) versus False Positives (unnecessary promotional discount spend).</w:t>
      </w:r>
      <w:r>
        <w:br/>
        <w:t>• Cumulative Gains &amp; Decile Lift Charts: Quantifying the proportion of total churners captured within the top 20% of highest predicted risk deciles.</w:t>
      </w:r>
    </w:p>
    <w:p w14:paraId="2A9B43C8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t>4. Production System Architecture &amp; Serving Strategy</w:t>
      </w:r>
    </w:p>
    <w:p w14:paraId="21841498" w14:textId="77777777" w:rsidR="008E5291" w:rsidRDefault="00000000">
      <w:pPr>
        <w:spacing w:after="120"/>
      </w:pPr>
      <w:r>
        <w:t>Deploying the predictive churn engine requires a multi-tier production architecture balancing low-latency real-time inference with robust batch scoring pipelines, experiment tracking, and continuous data drift observability.</w:t>
      </w:r>
    </w:p>
    <w:p w14:paraId="6316C2E3" w14:textId="77777777" w:rsidR="008E5291" w:rsidRDefault="008E5291">
      <w:pPr>
        <w:spacing w:before="160" w:after="40"/>
        <w:jc w:val="center"/>
      </w:pPr>
    </w:p>
    <w:p w14:paraId="7B3F7D17" w14:textId="77777777" w:rsidR="008E5291" w:rsidRDefault="00000000">
      <w:r>
        <w:rPr>
          <w:noProof/>
        </w:rPr>
        <w:drawing>
          <wp:inline distT="0" distB="0" distL="0" distR="0" wp14:anchorId="479E11CF" wp14:editId="161DFC4E">
            <wp:extent cx="5943600" cy="3378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DA82" w14:textId="77777777" w:rsidR="008E5291" w:rsidRDefault="00000000">
      <w:pPr>
        <w:jc w:val="center"/>
      </w:pPr>
      <w:r>
        <w:rPr>
          <w:rFonts w:ascii="Calibri" w:hAnsi="Calibri"/>
          <w:i/>
          <w:color w:val="64748B"/>
          <w:sz w:val="18"/>
        </w:rPr>
        <w:t>Figure 2: Project RetainAI Multi-Tier Production System &amp; Serving Blueprint</w:t>
      </w:r>
    </w:p>
    <w:p w14:paraId="48019082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Inference Microservice (FastAPI): </w:t>
      </w:r>
      <w:r>
        <w:t>Lightweight, asynchronous REST API containerized with Docker. Endpoints include `/predict_single` for on-demand customer evaluation and `/batch_score` for weekly bulk account scoring.</w:t>
      </w:r>
    </w:p>
    <w:p w14:paraId="7F11988D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Explainability Engine (SHAP): </w:t>
      </w:r>
      <w:r>
        <w:t>Generates real-time force plots and feature contribution vectors accompanying each churn probability output, allowing account managers to immediately see why a user is at risk.</w:t>
      </w:r>
    </w:p>
    <w:p w14:paraId="61164471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Operational Dashboard (Streamlit): </w:t>
      </w:r>
      <w:r>
        <w:t>Interactive web UI providing customer success teams with filtered account risk rankings, revenue-at-risk decile summaries, and recommended intervention playbooks.</w:t>
      </w:r>
    </w:p>
    <w:p w14:paraId="2E4CA08F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Continuous Observability (Evidently AI): </w:t>
      </w:r>
      <w:r>
        <w:t>Automated weekly monitoring tracking Population Stability Index (PSI) and Kolmogorov-Smirnov (KS) tests across key input features to detect covariate and concept drift.</w:t>
      </w:r>
    </w:p>
    <w:p w14:paraId="4CB84AF1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t>5. Work Breakdown Structure, Timeline &amp; Toolchain</w:t>
      </w:r>
    </w:p>
    <w:p w14:paraId="551FD3D8" w14:textId="77777777" w:rsidR="008E5291" w:rsidRDefault="00000000">
      <w:pPr>
        <w:spacing w:after="120"/>
      </w:pPr>
      <w:r>
        <w:t>To satisfy the 30-35 hour project effort allocation, the implementation plan is divided into five structured phases executed sequentially over a two-week sprint schedule (averaging 3.3 hours/day or dedicated intensive blocks).</w:t>
      </w:r>
    </w:p>
    <w:p w14:paraId="410EEC92" w14:textId="77777777" w:rsidR="008E5291" w:rsidRDefault="008E5291">
      <w:pPr>
        <w:spacing w:before="160" w:after="40"/>
        <w:jc w:val="center"/>
      </w:pPr>
    </w:p>
    <w:p w14:paraId="7496747A" w14:textId="77777777" w:rsidR="008E5291" w:rsidRDefault="00000000">
      <w:r>
        <w:rPr>
          <w:noProof/>
        </w:rPr>
        <w:drawing>
          <wp:inline distT="0" distB="0" distL="0" distR="0" wp14:anchorId="17650877" wp14:editId="1A0285B0">
            <wp:extent cx="5943600" cy="3523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project_gantt_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B8C" w14:textId="77777777" w:rsidR="008E5291" w:rsidRDefault="00000000">
      <w:pPr>
        <w:jc w:val="center"/>
      </w:pPr>
      <w:r>
        <w:rPr>
          <w:rFonts w:ascii="Calibri" w:hAnsi="Calibri"/>
          <w:i/>
          <w:color w:val="64748B"/>
          <w:sz w:val="18"/>
        </w:rPr>
        <w:t>Figure 3: Project RetainAI 30-35 Hour Work Breakdown Structure &amp; Timeline Gantt Chart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5291" w14:paraId="08AA1E04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CDC42F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Phase &amp; Focus Area</w:t>
            </w:r>
          </w:p>
        </w:tc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EC0F3F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Hours Allocated</w:t>
            </w:r>
          </w:p>
        </w:tc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11CB5D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Key Activities &amp; Work Tasks</w:t>
            </w:r>
          </w:p>
        </w:tc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B382B5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Core Milestone Deliverable</w:t>
            </w:r>
          </w:p>
        </w:tc>
      </w:tr>
      <w:tr w:rsidR="008E5291" w14:paraId="18CF4FD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E452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Phase 1: Project Scoping &amp; Data Architecture Specs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F26B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5.0 Hours</w:t>
            </w:r>
            <w:r>
              <w:rPr>
                <w:rFonts w:ascii="Calibri" w:hAnsi="Calibri"/>
                <w:color w:val="1E293B"/>
                <w:sz w:val="19"/>
              </w:rPr>
              <w:br/>
              <w:t>(Hours 0 - 5)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CC32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• Define business problem &amp; KPI hierarchy</w:t>
            </w:r>
            <w:r>
              <w:rPr>
                <w:rFonts w:ascii="Calibri" w:hAnsi="Calibri"/>
                <w:color w:val="1E293B"/>
                <w:sz w:val="19"/>
              </w:rPr>
              <w:br/>
              <w:t>• Establish data dictionaries &amp; schema contracts</w:t>
            </w:r>
            <w:r>
              <w:rPr>
                <w:rFonts w:ascii="Calibri" w:hAnsi="Calibri"/>
                <w:color w:val="1E293B"/>
                <w:sz w:val="19"/>
              </w:rPr>
              <w:br/>
              <w:t>• Configure Git repository &amp; environment dependencies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8570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Milestone 1: Project Charter &amp; Data Architecture Spec Approved</w:t>
            </w:r>
          </w:p>
        </w:tc>
      </w:tr>
      <w:tr w:rsidR="008E5291" w14:paraId="1B0BF39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753C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Phase 2: Data Preprocessing, Cleaning &amp; Pipeline Design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51317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6.5 Hours</w:t>
            </w:r>
            <w:r>
              <w:rPr>
                <w:rFonts w:ascii="Calibri" w:hAnsi="Calibri"/>
                <w:color w:val="1E293B"/>
                <w:sz w:val="19"/>
              </w:rPr>
              <w:br/>
              <w:t>(Hours 5 - 11.5)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A3C7D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• Implement missing data &amp; outlier handling modules</w:t>
            </w:r>
            <w:r>
              <w:rPr>
                <w:rFonts w:ascii="Calibri" w:hAnsi="Calibri"/>
                <w:color w:val="1E293B"/>
                <w:sz w:val="19"/>
              </w:rPr>
              <w:br/>
              <w:t>• Build automated Great Expectations validation suite</w:t>
            </w:r>
            <w:r>
              <w:rPr>
                <w:rFonts w:ascii="Calibri" w:hAnsi="Calibri"/>
                <w:color w:val="1E293B"/>
                <w:sz w:val="19"/>
              </w:rPr>
              <w:br/>
              <w:t>• Formulate temporal train/val/test data splitting logic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F46CD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Milestone 2: Modular Clean Data Pipeline Verified &amp; Tested</w:t>
            </w:r>
          </w:p>
        </w:tc>
      </w:tr>
      <w:tr w:rsidR="008E5291" w14:paraId="2A3050B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C24B9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Phase 3: Exploratory Data Analysis &amp; Feature Store Strategy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98A4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7.0 Hours</w:t>
            </w:r>
            <w:r>
              <w:rPr>
                <w:rFonts w:ascii="Calibri" w:hAnsi="Calibri"/>
                <w:color w:val="1E293B"/>
                <w:sz w:val="19"/>
              </w:rPr>
              <w:br/>
              <w:t>(Hours 11.5 - 18.5)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A7AB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• Conduct univariate, bivariate, &amp; cohort retention EDA</w:t>
            </w:r>
            <w:r>
              <w:rPr>
                <w:rFonts w:ascii="Calibri" w:hAnsi="Calibri"/>
                <w:color w:val="1E293B"/>
                <w:sz w:val="19"/>
              </w:rPr>
              <w:br/>
              <w:t>• Engineer RFM, engagement velocity, &amp; sentiment features</w:t>
            </w:r>
            <w:r>
              <w:rPr>
                <w:rFonts w:ascii="Calibri" w:hAnsi="Calibri"/>
                <w:color w:val="1E293B"/>
                <w:sz w:val="19"/>
              </w:rPr>
              <w:br/>
              <w:t>• Multi-collinearity screening and feature selection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1BB6E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Milestone 3: Engineered Feature Store &amp; Baseline Benchmark</w:t>
            </w:r>
          </w:p>
        </w:tc>
      </w:tr>
      <w:tr w:rsidR="008E5291" w14:paraId="266EA0C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499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Phase 4: ML Modeling, Hyperparameter Tuning &amp; Evaluation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4AF7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8.0 Hours</w:t>
            </w:r>
            <w:r>
              <w:rPr>
                <w:rFonts w:ascii="Calibri" w:hAnsi="Calibri"/>
                <w:color w:val="1E293B"/>
                <w:sz w:val="19"/>
              </w:rPr>
              <w:br/>
              <w:t>(Hours 18.5 - 26.5)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B8BD8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• Train XGBoost, LightGBM, CatBoost, &amp; Logistic models</w:t>
            </w:r>
            <w:r>
              <w:rPr>
                <w:rFonts w:ascii="Calibri" w:hAnsi="Calibri"/>
                <w:color w:val="1E293B"/>
                <w:sz w:val="19"/>
              </w:rPr>
              <w:br/>
              <w:t>• Run Optuna Bayesian hyperparameter search (50 trials)</w:t>
            </w:r>
            <w:r>
              <w:rPr>
                <w:rFonts w:ascii="Calibri" w:hAnsi="Calibri"/>
                <w:color w:val="1E293B"/>
                <w:sz w:val="19"/>
              </w:rPr>
              <w:br/>
              <w:t>• Generate PR-AUC, ROC-AUC, Lift curves &amp; Cost Matrix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0B8CE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Milestone 4: Validated Champion Model with Superior Lift</w:t>
            </w:r>
          </w:p>
        </w:tc>
      </w:tr>
      <w:tr w:rsidR="008E5291" w14:paraId="346F220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B12B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Phase 5: MLOps Architecture, Explainability &amp; Deliverables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9CC3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6.5 Hours</w:t>
            </w:r>
            <w:r>
              <w:rPr>
                <w:rFonts w:ascii="Calibri" w:hAnsi="Calibri"/>
                <w:color w:val="1E293B"/>
                <w:sz w:val="19"/>
              </w:rPr>
              <w:br/>
              <w:t>(Hours 26.5 - 33.0)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B929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• Build FastAPI REST service &amp; Streamlit analytics UI</w:t>
            </w:r>
            <w:r>
              <w:rPr>
                <w:rFonts w:ascii="Calibri" w:hAnsi="Calibri"/>
                <w:color w:val="1E293B"/>
                <w:sz w:val="19"/>
              </w:rPr>
              <w:br/>
              <w:t>• Integrate SHAP waterfall explainability charts</w:t>
            </w:r>
            <w:r>
              <w:rPr>
                <w:rFonts w:ascii="Calibri" w:hAnsi="Calibri"/>
                <w:color w:val="1E293B"/>
                <w:sz w:val="19"/>
              </w:rPr>
              <w:br/>
              <w:t>• Draft executive strategy document &amp; final code freeze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2E74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Milestone 5: Production-Ready Strategy Document &amp; Demo</w:t>
            </w:r>
          </w:p>
        </w:tc>
      </w:tr>
    </w:tbl>
    <w:p w14:paraId="267A1A5A" w14:textId="77777777" w:rsidR="008E5291" w:rsidRDefault="008E5291"/>
    <w:p w14:paraId="3551A911" w14:textId="77777777" w:rsidR="008E5291" w:rsidRDefault="00000000">
      <w:pPr>
        <w:pStyle w:val="Heading2"/>
      </w:pPr>
      <w:r>
        <w:rPr>
          <w:rFonts w:ascii="Calibri" w:hAnsi="Calibri"/>
          <w:color w:val="0D9488"/>
        </w:rPr>
        <w:t>5.2 Comprehensive Python Ecosystem &amp; 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5291" w14:paraId="5D86CE91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CFB7C3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Functional Layer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C96B5C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Selected Python Libraries / Tools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28991E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Strategic Rationale &amp; Role</w:t>
            </w:r>
          </w:p>
        </w:tc>
      </w:tr>
      <w:tr w:rsidR="008E5291" w14:paraId="4DE5777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F732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Data Manipulation &amp; Ingestion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0ACC1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Pandas, Polars, SQLAlchemy, PyArrow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033F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High-throughput data parsing, memory-efficient columnar operations, and structured relational database connectivity.</w:t>
            </w:r>
          </w:p>
        </w:tc>
      </w:tr>
      <w:tr w:rsidR="008E5291" w14:paraId="0B40344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61FE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Data Quality &amp; Testing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28F7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Great Expectations, PyTest, Pydantic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600F9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Automated data contract validation, schema enforcement, and test-driven regression suites for data pipelines.</w:t>
            </w:r>
          </w:p>
        </w:tc>
      </w:tr>
      <w:tr w:rsidR="008E5291" w14:paraId="21CB4ED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1C61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EDA &amp; Statistical Visualization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8E201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Matplotlib, Seaborn, Plotly, SciPy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31A0D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Publication-ready distribution plots, correlation matrices, interactive drill-downs, and hypothesis testing.</w:t>
            </w:r>
          </w:p>
        </w:tc>
      </w:tr>
      <w:tr w:rsidR="008E5291" w14:paraId="35C4E15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BAFED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Feature Engineering &amp; Machine Learning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8BE3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Scikit-Learn, XGBoost, LightGBM, CatBoost, Lifelines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5F069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Modular transformer pipelines, state-of-the-art gradient boosting algorithms, and survival analysis models.</w:t>
            </w:r>
          </w:p>
        </w:tc>
      </w:tr>
      <w:tr w:rsidR="008E5291" w14:paraId="0275671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55703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Hyperparameter Optimization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805D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Optuna, Hyperopt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45388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Automated Bayesian optimization with efficient tree-structured Parzen estimators and early stopping pruning.</w:t>
            </w:r>
          </w:p>
        </w:tc>
      </w:tr>
      <w:tr w:rsidR="008E5291" w14:paraId="5E5CE45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1B42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Interpretability, Serving &amp; MLOps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163B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SHAP, LIME, FastAPI, Uvicorn, Streamlit, MLflow, Evidently AI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6D31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Local and global feature attribution, asynchronous REST inference, operational dashboarding, experiment tracking, and drift detection.</w:t>
            </w:r>
          </w:p>
        </w:tc>
      </w:tr>
    </w:tbl>
    <w:p w14:paraId="2CB17072" w14:textId="77777777" w:rsidR="008E5291" w:rsidRDefault="008E5291"/>
    <w:p w14:paraId="2E3382C8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t>6. Expected Outcomes, Key Metrics &amp; Risk Management</w:t>
      </w:r>
    </w:p>
    <w:p w14:paraId="092D036F" w14:textId="77777777" w:rsidR="008E5291" w:rsidRDefault="00000000">
      <w:pPr>
        <w:spacing w:after="120"/>
      </w:pPr>
      <w:r>
        <w:t>A robust data science plan must proactively quantify expected business impact and systematically mitigate technical and operational risks.</w:t>
      </w:r>
    </w:p>
    <w:p w14:paraId="1EE96576" w14:textId="77777777" w:rsidR="008E5291" w:rsidRDefault="008E5291">
      <w:pPr>
        <w:spacing w:before="160" w:after="40"/>
        <w:jc w:val="center"/>
      </w:pPr>
    </w:p>
    <w:p w14:paraId="7AE612D1" w14:textId="77777777" w:rsidR="008E5291" w:rsidRDefault="00000000">
      <w:r>
        <w:rPr>
          <w:noProof/>
        </w:rPr>
        <w:drawing>
          <wp:inline distT="0" distB="0" distL="0" distR="0" wp14:anchorId="6DCF7D36" wp14:editId="4C037D5F">
            <wp:extent cx="5029200" cy="34517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risk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98B" w14:textId="77777777" w:rsidR="008E5291" w:rsidRDefault="00000000">
      <w:pPr>
        <w:jc w:val="center"/>
      </w:pPr>
      <w:r>
        <w:rPr>
          <w:rFonts w:ascii="Calibri" w:hAnsi="Calibri"/>
          <w:i/>
          <w:color w:val="64748B"/>
          <w:sz w:val="18"/>
        </w:rPr>
        <w:t>Figure 4: Strategic Risk Assessment &amp; Mitigation Framework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5291" w14:paraId="71CCE1FF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7CCFCF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Risk ID &amp; Category</w:t>
            </w:r>
          </w:p>
        </w:tc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3D0AC4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Identified Risk Event</w:t>
            </w:r>
          </w:p>
        </w:tc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D307DA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Severity &amp; Likelihood</w:t>
            </w:r>
          </w:p>
        </w:tc>
        <w:tc>
          <w:tcPr>
            <w:tcW w:w="234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E0F969" w14:textId="77777777" w:rsidR="008E5291" w:rsidRDefault="00000000">
            <w:r>
              <w:rPr>
                <w:rFonts w:ascii="Calibri" w:hAnsi="Calibri"/>
                <w:b/>
                <w:color w:val="FFFFFF"/>
                <w:sz w:val="20"/>
              </w:rPr>
              <w:t>Concrete Mitigation Strategy</w:t>
            </w:r>
          </w:p>
        </w:tc>
      </w:tr>
      <w:tr w:rsidR="008E5291" w14:paraId="10538AA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6DDF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R1: Data Leakage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DF69E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Future engagement signals or target leakage across temporal windows in train/test splits.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AD37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High Impact</w:t>
            </w:r>
            <w:r>
              <w:rPr>
                <w:rFonts w:ascii="Calibri" w:hAnsi="Calibri"/>
                <w:color w:val="1E293B"/>
                <w:sz w:val="19"/>
              </w:rPr>
              <w:br/>
              <w:t>Low Likelihood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FE57B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Enforce strict out-of-time (OOT) temporal splits; compute rolling window aggregates strictly up to prediction cut-off date (T_0).</w:t>
            </w:r>
          </w:p>
        </w:tc>
      </w:tr>
      <w:tr w:rsidR="008E5291" w14:paraId="06FC8B6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C1DB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R2: Class Imbalance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D9E0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Low positive churn event prevalence (e.g. 10-15%) distorting default accuracy metrics.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509CD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High Impact</w:t>
            </w:r>
            <w:r>
              <w:rPr>
                <w:rFonts w:ascii="Calibri" w:hAnsi="Calibri"/>
                <w:color w:val="1E293B"/>
                <w:sz w:val="19"/>
              </w:rPr>
              <w:br/>
              <w:t>Medium Likelihood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5D656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Optimize for PR-AUC and Cost-Weighted F1 rather than accuracy; apply scale_pos_weight parameter in XGBoost/LightGBM and SMOTE-Tomek.</w:t>
            </w:r>
          </w:p>
        </w:tc>
      </w:tr>
      <w:tr w:rsidR="008E5291" w14:paraId="6A79246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D4A2F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R3: Production Drift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3BD65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Consumer behavior shifts post-marketing campaign degrading model predictive accuracy over time.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5C11A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Medium Impact</w:t>
            </w:r>
            <w:r>
              <w:rPr>
                <w:rFonts w:ascii="Calibri" w:hAnsi="Calibri"/>
                <w:color w:val="1E293B"/>
                <w:sz w:val="19"/>
              </w:rPr>
              <w:br/>
              <w:t>Medium Likelihood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DF47C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Deploy Evidently AI to monitor Population Stability Index (PSI &gt; 0.2 threshold) and configure automated alerts for weekly retraining jobs.</w:t>
            </w:r>
          </w:p>
        </w:tc>
      </w:tr>
      <w:tr w:rsidR="008E5291" w14:paraId="06B524A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701F3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R4: Inference Latency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2A264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Complex feature pipelines causing response delays (&gt;500ms) in real-time API endpoints.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CAB60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Low Impact</w:t>
            </w:r>
            <w:r>
              <w:rPr>
                <w:rFonts w:ascii="Calibri" w:hAnsi="Calibri"/>
                <w:color w:val="1E293B"/>
                <w:sz w:val="19"/>
              </w:rPr>
              <w:br/>
              <w:t>Low Likelihood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73B91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Pre-compute static daily features in a feature store (Feast/Redis); optimize FastAPI payloads with asynchronous workers.</w:t>
            </w:r>
          </w:p>
        </w:tc>
      </w:tr>
      <w:tr w:rsidR="008E5291" w14:paraId="706D823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3789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R5: Retention Bias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770F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Algorithms disproportionately offering retention discounts to specific demographic tiers.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A50B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Medium Impact</w:t>
            </w:r>
            <w:r>
              <w:rPr>
                <w:rFonts w:ascii="Calibri" w:hAnsi="Calibri"/>
                <w:color w:val="1E293B"/>
                <w:sz w:val="19"/>
              </w:rPr>
              <w:br/>
              <w:t>Low Likelihood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672C2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Conduct disparate impact audits across sensitive demographic features using Fairlearn to ensure equitable intervention eligibility.</w:t>
            </w:r>
          </w:p>
        </w:tc>
      </w:tr>
      <w:tr w:rsidR="008E5291" w14:paraId="3E08A8B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9A763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R6: User Adoption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76359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Customer success representatives reluctant to trust complex black-box machine learning predictions.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B13C3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Low Impact</w:t>
            </w:r>
            <w:r>
              <w:rPr>
                <w:rFonts w:ascii="Calibri" w:hAnsi="Calibri"/>
                <w:color w:val="1E293B"/>
                <w:sz w:val="19"/>
              </w:rPr>
              <w:br/>
              <w:t>Low Likelihood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21628" w14:textId="77777777" w:rsidR="008E5291" w:rsidRDefault="00000000">
            <w:r>
              <w:rPr>
                <w:rFonts w:ascii="Calibri" w:hAnsi="Calibri"/>
                <w:color w:val="1E293B"/>
                <w:sz w:val="19"/>
              </w:rPr>
              <w:t>Integrate transparent SHAP waterfall reason codes in the Streamlit UI, explaining the specific actionable triggers behind every high-risk alert.</w:t>
            </w:r>
          </w:p>
        </w:tc>
      </w:tr>
    </w:tbl>
    <w:p w14:paraId="6D3E3AF1" w14:textId="77777777" w:rsidR="008E5291" w:rsidRDefault="008E5291"/>
    <w:p w14:paraId="0768190E" w14:textId="77777777" w:rsidR="008E5291" w:rsidRDefault="00000000">
      <w:pPr>
        <w:pStyle w:val="Heading2"/>
      </w:pPr>
      <w:r>
        <w:rPr>
          <w:rFonts w:ascii="Calibri" w:hAnsi="Calibri"/>
          <w:color w:val="0D9488"/>
        </w:rPr>
        <w:t>6.2 Target Success Metrics &amp; Business ROI</w:t>
      </w:r>
    </w:p>
    <w:p w14:paraId="3F95D7F9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Churn Rate Reduction: </w:t>
      </w:r>
      <w:r>
        <w:t>Target reduction in annual gross customer churn from baseline 18% to 14.5% (a 19.4% relative reduction).</w:t>
      </w:r>
    </w:p>
    <w:p w14:paraId="728B3389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Intervention Lead Time: </w:t>
      </w:r>
      <w:r>
        <w:t>Achieve an average warning horizon of 45 days prior to contract termination or inactivity cut-off.</w:t>
      </w:r>
    </w:p>
    <w:p w14:paraId="614504EE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Top-Decile Churn Capture (Lift): </w:t>
      </w:r>
      <w:r>
        <w:t>Capture &gt;= 55% of all churning accounts within the top 20% highest-risk predicted segment (2.75x lift over random selection).</w:t>
      </w:r>
    </w:p>
    <w:p w14:paraId="2FDB0989" w14:textId="77777777" w:rsidR="008E5291" w:rsidRDefault="00000000">
      <w:pPr>
        <w:pStyle w:val="ListBullet"/>
        <w:spacing w:after="60"/>
      </w:pPr>
      <w:r>
        <w:rPr>
          <w:b/>
          <w:color w:val="0F172A"/>
        </w:rPr>
        <w:t xml:space="preserve">Net Saved Annual Recurring Revenue (ARR): </w:t>
      </w:r>
      <w:r>
        <w:t>Estimated net ARR preservation of $620,000 annually per 100,000 accounts after accounting for retention offer expenses.</w:t>
      </w:r>
    </w:p>
    <w:p w14:paraId="010995E7" w14:textId="77777777" w:rsidR="008E5291" w:rsidRDefault="00000000">
      <w:pPr>
        <w:pStyle w:val="Heading1"/>
      </w:pPr>
      <w:r>
        <w:rPr>
          <w:rFonts w:ascii="Calibri" w:hAnsi="Calibri"/>
          <w:color w:val="0F172A"/>
          <w:sz w:val="32"/>
        </w:rPr>
        <w:t>7. Conclusion &amp; Next Steps (Transitioning to Week 2)</w:t>
      </w:r>
    </w:p>
    <w:p w14:paraId="67C87D2E" w14:textId="77777777" w:rsidR="008E5291" w:rsidRDefault="00000000">
      <w:pPr>
        <w:spacing w:after="120"/>
      </w:pPr>
      <w:r>
        <w:t>This Week 1 project plan and strategy design establishes an exhaustive, technically rigorous, and financially grounded foundation for Project RetainAI. By defining clear scope boundaries, architecting an end-to-end data pipeline, establishing an allocated 33-hour work breakdown structure, and anticipating deployment and drift risks, the project is fully positioned for seamless technical execution in Week 2 (Data Collection, Preprocessing &amp; Exploratory Analysis).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E5291" w14:paraId="28A18AE5" w14:textId="77777777">
        <w:trPr>
          <w:jc w:val="center"/>
        </w:trPr>
        <w:tc>
          <w:tcPr>
            <w:tcW w:w="9360" w:type="dxa"/>
            <w:tcBorders>
              <w:left w:val="single" w:sz="24" w:space="0" w:color="9333EA"/>
            </w:tcBorders>
            <w:shd w:val="clear" w:color="auto" w:fill="FD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774BBF" w14:textId="77777777" w:rsidR="008E5291" w:rsidRDefault="00000000">
            <w:pPr>
              <w:spacing w:after="40"/>
            </w:pPr>
            <w:r>
              <w:rPr>
                <w:rFonts w:ascii="Calibri" w:hAnsi="Calibri"/>
                <w:b/>
                <w:color w:val="9333EA"/>
                <w:sz w:val="20"/>
              </w:rPr>
              <w:t>📌 EXECUTIVE SIGN-OFF &amp; TRANSITION READINESS</w:t>
            </w:r>
            <w:r>
              <w:rPr>
                <w:rFonts w:ascii="Calibri" w:hAnsi="Calibri"/>
                <w:b/>
                <w:color w:val="9333EA"/>
                <w:sz w:val="20"/>
              </w:rPr>
              <w:br/>
            </w:r>
            <w:r>
              <w:rPr>
                <w:rFonts w:ascii="Calibri" w:hAnsi="Calibri"/>
                <w:color w:val="334155"/>
                <w:sz w:val="19"/>
              </w:rPr>
              <w:t>With strategy, timeline, schemas, and architecture formally documented, the next immediate technical milestones for Week 2 will include initializing the synthetic multi-source data generation scripts, configuring the automated PyTest/Great Expectations data validation harnesses, and conducting baseline EDA notebooks.</w:t>
            </w:r>
          </w:p>
        </w:tc>
      </w:tr>
    </w:tbl>
    <w:p w14:paraId="585A48FC" w14:textId="77777777" w:rsidR="008E5291" w:rsidRDefault="008E5291">
      <w:pPr>
        <w:spacing w:after="120"/>
      </w:pPr>
    </w:p>
    <w:sectPr w:rsidR="008E529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224893">
    <w:abstractNumId w:val="8"/>
  </w:num>
  <w:num w:numId="2" w16cid:durableId="2055957612">
    <w:abstractNumId w:val="6"/>
  </w:num>
  <w:num w:numId="3" w16cid:durableId="1218325441">
    <w:abstractNumId w:val="5"/>
  </w:num>
  <w:num w:numId="4" w16cid:durableId="1322463527">
    <w:abstractNumId w:val="4"/>
  </w:num>
  <w:num w:numId="5" w16cid:durableId="1436485237">
    <w:abstractNumId w:val="7"/>
  </w:num>
  <w:num w:numId="6" w16cid:durableId="952203135">
    <w:abstractNumId w:val="3"/>
  </w:num>
  <w:num w:numId="7" w16cid:durableId="1263950781">
    <w:abstractNumId w:val="2"/>
  </w:num>
  <w:num w:numId="8" w16cid:durableId="579101852">
    <w:abstractNumId w:val="1"/>
  </w:num>
  <w:num w:numId="9" w16cid:durableId="83580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02F"/>
    <w:rsid w:val="008E5291"/>
    <w:rsid w:val="00AA1D8D"/>
    <w:rsid w:val="00B47730"/>
    <w:rsid w:val="00BF0A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A9560"/>
  <w14:defaultImageDpi w14:val="300"/>
  <w15:docId w15:val="{8EF86CED-1D9D-4626-AEF0-B6CCA899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2596</Words>
  <Characters>14802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1. Introduction &amp; Project Background</vt:lpstr>
      <vt:lpstr>2. Project Objectives &amp; Scope Specification</vt:lpstr>
      <vt:lpstr>    2.1 SMART Project Objectives</vt:lpstr>
      <vt:lpstr>    2.2 In-Scope vs. Out-of-Scope Boundary Matrix</vt:lpstr>
      <vt:lpstr>3. Methodology &amp; Strategic Architecture</vt:lpstr>
      <vt:lpstr>    Phase 1: Data Acquisition, Ingestion &amp; Schema Contracts</vt:lpstr>
      <vt:lpstr>    Phase 2: Data Preprocessing, Cleaning &amp; Pipeline Design</vt:lpstr>
      <vt:lpstr>    Phase 3: Exploratory Data Analysis (EDA) &amp; Behavioral Profiling</vt:lpstr>
      <vt:lpstr>    Phase 4: Advanced Feature Engineering &amp; Feature Store Formulation</vt:lpstr>
      <vt:lpstr>    Phase 5: Machine Learning Modeling Strategy &amp; Hyperparameter Optimization</vt:lpstr>
      <vt:lpstr>    Phase 6: Model Evaluation, Validation &amp; Business Cost Matrix</vt:lpstr>
      <vt:lpstr>4. Production System Architecture &amp; Serving Strategy</vt:lpstr>
      <vt:lpstr>5. Work Breakdown Structure, Timeline &amp; Toolchain</vt:lpstr>
      <vt:lpstr>    5.2 Comprehensive Python Ecosystem &amp; Technology Stack</vt:lpstr>
      <vt:lpstr>6. Expected Outcomes, Key Metrics &amp; Risk Management</vt:lpstr>
      <vt:lpstr>    6.2 Target Success Metrics &amp; Business ROI</vt:lpstr>
      <vt:lpstr>7. Conclusion &amp; Next Steps (Transitioning to Week 2)</vt:lpstr>
    </vt:vector>
  </TitlesOfParts>
  <Manager/>
  <Company/>
  <LinksUpToDate>false</LinksUpToDate>
  <CharactersWithSpaces>17364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 Kumar</cp:lastModifiedBy>
  <cp:revision>2</cp:revision>
  <dcterms:created xsi:type="dcterms:W3CDTF">2013-12-23T23:15:00Z</dcterms:created>
  <dcterms:modified xsi:type="dcterms:W3CDTF">2026-08-18T13:30:00Z</dcterms:modified>
  <cp:category/>
</cp:coreProperties>
</file>