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757E" w14:textId="77777777" w:rsidR="00672932" w:rsidRDefault="00000000">
      <w:pPr>
        <w:spacing w:before="240" w:after="40"/>
      </w:pPr>
      <w:r>
        <w:rPr>
          <w:rFonts w:ascii="Calibri" w:hAnsi="Calibri"/>
          <w:b/>
          <w:color w:val="1B365D"/>
          <w:sz w:val="44"/>
        </w:rPr>
        <w:t>Project Horizon: Predictive Customer Churn Analytics, Revenue Risk Mitigation, and Proactive Retention Strategy</w:t>
      </w:r>
    </w:p>
    <w:p w14:paraId="4FF935B8" w14:textId="77777777" w:rsidR="00672932" w:rsidRDefault="00000000">
      <w:pPr>
        <w:spacing w:after="280"/>
      </w:pPr>
      <w:r>
        <w:rPr>
          <w:rFonts w:ascii="Calibri" w:hAnsi="Calibri"/>
          <w:color w:val="006699"/>
          <w:sz w:val="26"/>
        </w:rPr>
        <w:t>A Comprehensive Data Science Report, Executive Decision Framework, and Non-Technical Insights Presentation Plan</w:t>
      </w:r>
    </w:p>
    <w:tbl>
      <w:tblPr>
        <w:tblW w:w="0" w:type="auto"/>
        <w:jc w:val="center"/>
        <w:tblLayout w:type="fixed"/>
        <w:tblLook w:val="04A0" w:firstRow="1" w:lastRow="0" w:firstColumn="1" w:lastColumn="0" w:noHBand="0" w:noVBand="1"/>
      </w:tblPr>
      <w:tblGrid>
        <w:gridCol w:w="3168"/>
        <w:gridCol w:w="6192"/>
      </w:tblGrid>
      <w:tr w:rsidR="00672932" w14:paraId="3F604003" w14:textId="77777777">
        <w:trPr>
          <w:jc w:val="center"/>
        </w:trPr>
        <w:tc>
          <w:tcPr>
            <w:tcW w:w="3168" w:type="dxa"/>
            <w:tcBorders>
              <w:top w:val="single" w:sz="4" w:space="0" w:color="E2E8F0"/>
              <w:bottom w:val="single" w:sz="4" w:space="0" w:color="CBD5E1"/>
            </w:tcBorders>
            <w:shd w:val="clear" w:color="auto" w:fill="1B365D"/>
            <w:tcMar>
              <w:top w:w="100" w:type="dxa"/>
              <w:left w:w="120" w:type="dxa"/>
              <w:bottom w:w="100" w:type="dxa"/>
              <w:right w:w="120" w:type="dxa"/>
            </w:tcMar>
          </w:tcPr>
          <w:p w14:paraId="268EB09B" w14:textId="77777777" w:rsidR="00672932" w:rsidRDefault="00000000">
            <w:pPr>
              <w:spacing w:after="0"/>
            </w:pPr>
            <w:r>
              <w:rPr>
                <w:rFonts w:ascii="Calibri" w:hAnsi="Calibri"/>
                <w:b/>
                <w:color w:val="FFFFFF"/>
                <w:sz w:val="20"/>
              </w:rPr>
              <w:t>Document Attribute</w:t>
            </w:r>
          </w:p>
        </w:tc>
        <w:tc>
          <w:tcPr>
            <w:tcW w:w="6192" w:type="dxa"/>
            <w:tcBorders>
              <w:top w:val="single" w:sz="4" w:space="0" w:color="E2E8F0"/>
              <w:bottom w:val="single" w:sz="4" w:space="0" w:color="CBD5E1"/>
            </w:tcBorders>
            <w:shd w:val="clear" w:color="auto" w:fill="1B365D"/>
            <w:tcMar>
              <w:top w:w="100" w:type="dxa"/>
              <w:left w:w="120" w:type="dxa"/>
              <w:bottom w:w="100" w:type="dxa"/>
              <w:right w:w="120" w:type="dxa"/>
            </w:tcMar>
          </w:tcPr>
          <w:p w14:paraId="4B19FF34" w14:textId="77777777" w:rsidR="00672932" w:rsidRDefault="00000000">
            <w:pPr>
              <w:spacing w:after="0"/>
            </w:pPr>
            <w:r>
              <w:rPr>
                <w:rFonts w:ascii="Calibri" w:hAnsi="Calibri"/>
                <w:b/>
                <w:color w:val="FFFFFF"/>
                <w:sz w:val="20"/>
              </w:rPr>
              <w:t>Specification Details</w:t>
            </w:r>
          </w:p>
        </w:tc>
      </w:tr>
      <w:tr w:rsidR="00672932" w14:paraId="5A85755E" w14:textId="77777777">
        <w:trPr>
          <w:jc w:val="center"/>
        </w:trPr>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6A848FEC" w14:textId="77777777" w:rsidR="00672932" w:rsidRDefault="00000000">
            <w:pPr>
              <w:spacing w:after="0"/>
            </w:pPr>
            <w:r>
              <w:rPr>
                <w:rFonts w:ascii="Calibri" w:hAnsi="Calibri"/>
                <w:color w:val="2D3748"/>
                <w:sz w:val="19"/>
              </w:rPr>
              <w:t>Program</w:t>
            </w:r>
          </w:p>
        </w:tc>
        <w:tc>
          <w:tcPr>
            <w:tcW w:w="6192" w:type="dxa"/>
            <w:tcBorders>
              <w:top w:val="single" w:sz="4" w:space="0" w:color="E2E8F0"/>
              <w:bottom w:val="single" w:sz="4" w:space="0" w:color="CBD5E1"/>
            </w:tcBorders>
            <w:shd w:val="clear" w:color="auto" w:fill="FFFFFF"/>
            <w:tcMar>
              <w:top w:w="80" w:type="dxa"/>
              <w:left w:w="120" w:type="dxa"/>
              <w:bottom w:w="80" w:type="dxa"/>
              <w:right w:w="120" w:type="dxa"/>
            </w:tcMar>
          </w:tcPr>
          <w:p w14:paraId="7A9252F5" w14:textId="77777777" w:rsidR="00672932" w:rsidRDefault="00000000">
            <w:pPr>
              <w:spacing w:after="0"/>
            </w:pPr>
            <w:r>
              <w:rPr>
                <w:rFonts w:ascii="Calibri" w:hAnsi="Calibri"/>
                <w:color w:val="2D3748"/>
                <w:sz w:val="19"/>
              </w:rPr>
              <w:t>Virtual Data Science Explorer Internship — Final Capstone (Week 4)</w:t>
            </w:r>
          </w:p>
        </w:tc>
      </w:tr>
      <w:tr w:rsidR="00672932" w14:paraId="4796137D" w14:textId="77777777">
        <w:trPr>
          <w:jc w:val="center"/>
        </w:trPr>
        <w:tc>
          <w:tcPr>
            <w:tcW w:w="3168" w:type="dxa"/>
            <w:tcBorders>
              <w:top w:val="single" w:sz="4" w:space="0" w:color="E2E8F0"/>
              <w:bottom w:val="single" w:sz="4" w:space="0" w:color="CBD5E1"/>
            </w:tcBorders>
            <w:shd w:val="clear" w:color="auto" w:fill="F8FAFC"/>
            <w:tcMar>
              <w:top w:w="80" w:type="dxa"/>
              <w:left w:w="120" w:type="dxa"/>
              <w:bottom w:w="80" w:type="dxa"/>
              <w:right w:w="120" w:type="dxa"/>
            </w:tcMar>
          </w:tcPr>
          <w:p w14:paraId="4CF4746F" w14:textId="77777777" w:rsidR="00672932" w:rsidRDefault="00000000">
            <w:pPr>
              <w:spacing w:after="0"/>
            </w:pPr>
            <w:r>
              <w:rPr>
                <w:rFonts w:ascii="Calibri" w:hAnsi="Calibri"/>
                <w:color w:val="2D3748"/>
                <w:sz w:val="19"/>
              </w:rPr>
              <w:t>Author / Lead Analyst</w:t>
            </w:r>
          </w:p>
        </w:tc>
        <w:tc>
          <w:tcPr>
            <w:tcW w:w="6192" w:type="dxa"/>
            <w:tcBorders>
              <w:top w:val="single" w:sz="4" w:space="0" w:color="E2E8F0"/>
              <w:bottom w:val="single" w:sz="4" w:space="0" w:color="CBD5E1"/>
            </w:tcBorders>
            <w:shd w:val="clear" w:color="auto" w:fill="F8FAFC"/>
            <w:tcMar>
              <w:top w:w="80" w:type="dxa"/>
              <w:left w:w="120" w:type="dxa"/>
              <w:bottom w:w="80" w:type="dxa"/>
              <w:right w:w="120" w:type="dxa"/>
            </w:tcMar>
          </w:tcPr>
          <w:p w14:paraId="5923A5A2" w14:textId="77777777" w:rsidR="00672932" w:rsidRDefault="00000000">
            <w:pPr>
              <w:spacing w:after="0"/>
            </w:pPr>
            <w:r>
              <w:rPr>
                <w:rFonts w:ascii="Calibri" w:hAnsi="Calibri"/>
                <w:color w:val="2D3748"/>
                <w:sz w:val="19"/>
              </w:rPr>
              <w:t>Aryan Kumar (Data Science Explorer Intern)</w:t>
            </w:r>
          </w:p>
        </w:tc>
      </w:tr>
      <w:tr w:rsidR="00672932" w14:paraId="29F860ED" w14:textId="77777777">
        <w:trPr>
          <w:jc w:val="center"/>
        </w:trPr>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637681DE" w14:textId="77777777" w:rsidR="00672932" w:rsidRDefault="00000000">
            <w:pPr>
              <w:spacing w:after="0"/>
            </w:pPr>
            <w:r>
              <w:rPr>
                <w:rFonts w:ascii="Calibri" w:hAnsi="Calibri"/>
                <w:color w:val="2D3748"/>
                <w:sz w:val="19"/>
              </w:rPr>
              <w:t>Target Audience</w:t>
            </w:r>
          </w:p>
        </w:tc>
        <w:tc>
          <w:tcPr>
            <w:tcW w:w="6192" w:type="dxa"/>
            <w:tcBorders>
              <w:top w:val="single" w:sz="4" w:space="0" w:color="E2E8F0"/>
              <w:bottom w:val="single" w:sz="4" w:space="0" w:color="CBD5E1"/>
            </w:tcBorders>
            <w:shd w:val="clear" w:color="auto" w:fill="FFFFFF"/>
            <w:tcMar>
              <w:top w:w="80" w:type="dxa"/>
              <w:left w:w="120" w:type="dxa"/>
              <w:bottom w:w="80" w:type="dxa"/>
              <w:right w:w="120" w:type="dxa"/>
            </w:tcMar>
          </w:tcPr>
          <w:p w14:paraId="54610B39" w14:textId="77777777" w:rsidR="00672932" w:rsidRDefault="00000000">
            <w:pPr>
              <w:spacing w:after="0"/>
            </w:pPr>
            <w:r>
              <w:rPr>
                <w:rFonts w:ascii="Calibri" w:hAnsi="Calibri"/>
                <w:color w:val="2D3748"/>
                <w:sz w:val="19"/>
              </w:rPr>
              <w:t>Executive Leadership (CFO, CRO, CPO), VP Customer Success, Data Science Steering Committee</w:t>
            </w:r>
          </w:p>
        </w:tc>
      </w:tr>
      <w:tr w:rsidR="00672932" w14:paraId="5EC1963C" w14:textId="77777777">
        <w:trPr>
          <w:jc w:val="center"/>
        </w:trPr>
        <w:tc>
          <w:tcPr>
            <w:tcW w:w="3168" w:type="dxa"/>
            <w:tcBorders>
              <w:top w:val="single" w:sz="4" w:space="0" w:color="E2E8F0"/>
              <w:bottom w:val="single" w:sz="4" w:space="0" w:color="CBD5E1"/>
            </w:tcBorders>
            <w:shd w:val="clear" w:color="auto" w:fill="F8FAFC"/>
            <w:tcMar>
              <w:top w:w="80" w:type="dxa"/>
              <w:left w:w="120" w:type="dxa"/>
              <w:bottom w:w="80" w:type="dxa"/>
              <w:right w:w="120" w:type="dxa"/>
            </w:tcMar>
          </w:tcPr>
          <w:p w14:paraId="38AB280F" w14:textId="77777777" w:rsidR="00672932" w:rsidRDefault="00000000">
            <w:pPr>
              <w:spacing w:after="0"/>
            </w:pPr>
            <w:r>
              <w:rPr>
                <w:rFonts w:ascii="Calibri" w:hAnsi="Calibri"/>
                <w:color w:val="2D3748"/>
                <w:sz w:val="19"/>
              </w:rPr>
              <w:t>Project Domain</w:t>
            </w:r>
          </w:p>
        </w:tc>
        <w:tc>
          <w:tcPr>
            <w:tcW w:w="6192" w:type="dxa"/>
            <w:tcBorders>
              <w:top w:val="single" w:sz="4" w:space="0" w:color="E2E8F0"/>
              <w:bottom w:val="single" w:sz="4" w:space="0" w:color="CBD5E1"/>
            </w:tcBorders>
            <w:shd w:val="clear" w:color="auto" w:fill="F8FAFC"/>
            <w:tcMar>
              <w:top w:w="80" w:type="dxa"/>
              <w:left w:w="120" w:type="dxa"/>
              <w:bottom w:w="80" w:type="dxa"/>
              <w:right w:w="120" w:type="dxa"/>
            </w:tcMar>
          </w:tcPr>
          <w:p w14:paraId="192C97A0" w14:textId="77777777" w:rsidR="00672932" w:rsidRDefault="00000000">
            <w:pPr>
              <w:spacing w:after="0"/>
            </w:pPr>
            <w:r>
              <w:rPr>
                <w:rFonts w:ascii="Calibri" w:hAnsi="Calibri"/>
                <w:color w:val="2D3748"/>
                <w:sz w:val="19"/>
              </w:rPr>
              <w:t>Enterprise B2B SaaS, Subscription Analytics &amp; Customer Lifetime Value (CLV) Optimization</w:t>
            </w:r>
          </w:p>
        </w:tc>
      </w:tr>
      <w:tr w:rsidR="00672932" w14:paraId="09DC3B84" w14:textId="77777777">
        <w:trPr>
          <w:jc w:val="center"/>
        </w:trPr>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43AD7614" w14:textId="77777777" w:rsidR="00672932" w:rsidRDefault="00000000">
            <w:pPr>
              <w:spacing w:after="0"/>
            </w:pPr>
            <w:r>
              <w:rPr>
                <w:rFonts w:ascii="Calibri" w:hAnsi="Calibri"/>
                <w:color w:val="2D3748"/>
                <w:sz w:val="19"/>
              </w:rPr>
              <w:t>Analytical Deliverables</w:t>
            </w:r>
          </w:p>
        </w:tc>
        <w:tc>
          <w:tcPr>
            <w:tcW w:w="6192" w:type="dxa"/>
            <w:tcBorders>
              <w:top w:val="single" w:sz="4" w:space="0" w:color="E2E8F0"/>
              <w:bottom w:val="single" w:sz="4" w:space="0" w:color="CBD5E1"/>
            </w:tcBorders>
            <w:shd w:val="clear" w:color="auto" w:fill="FFFFFF"/>
            <w:tcMar>
              <w:top w:w="80" w:type="dxa"/>
              <w:left w:w="120" w:type="dxa"/>
              <w:bottom w:w="80" w:type="dxa"/>
              <w:right w:w="120" w:type="dxa"/>
            </w:tcMar>
          </w:tcPr>
          <w:p w14:paraId="7097C7E3" w14:textId="77777777" w:rsidR="00672932" w:rsidRDefault="00000000">
            <w:pPr>
              <w:spacing w:after="0"/>
            </w:pPr>
            <w:r>
              <w:rPr>
                <w:rFonts w:ascii="Calibri" w:hAnsi="Calibri"/>
                <w:color w:val="2D3748"/>
                <w:sz w:val="19"/>
              </w:rPr>
              <w:t>Predictive Ensemble Model, Survival Curves, SHAP Attributions, Revenue Optimization Frontier</w:t>
            </w:r>
          </w:p>
        </w:tc>
      </w:tr>
      <w:tr w:rsidR="00672932" w14:paraId="3905EF2E" w14:textId="77777777">
        <w:trPr>
          <w:jc w:val="center"/>
        </w:trPr>
        <w:tc>
          <w:tcPr>
            <w:tcW w:w="3168" w:type="dxa"/>
            <w:tcBorders>
              <w:top w:val="single" w:sz="4" w:space="0" w:color="E2E8F0"/>
              <w:bottom w:val="single" w:sz="4" w:space="0" w:color="CBD5E1"/>
            </w:tcBorders>
            <w:shd w:val="clear" w:color="auto" w:fill="F8FAFC"/>
            <w:tcMar>
              <w:top w:w="80" w:type="dxa"/>
              <w:left w:w="120" w:type="dxa"/>
              <w:bottom w:w="80" w:type="dxa"/>
              <w:right w:w="120" w:type="dxa"/>
            </w:tcMar>
          </w:tcPr>
          <w:p w14:paraId="60E3E7BB" w14:textId="77777777" w:rsidR="00672932" w:rsidRDefault="00000000">
            <w:pPr>
              <w:spacing w:after="0"/>
            </w:pPr>
            <w:r>
              <w:rPr>
                <w:rFonts w:ascii="Calibri" w:hAnsi="Calibri"/>
                <w:color w:val="2D3748"/>
                <w:sz w:val="19"/>
              </w:rPr>
              <w:t>Presentation Blueprint</w:t>
            </w:r>
          </w:p>
        </w:tc>
        <w:tc>
          <w:tcPr>
            <w:tcW w:w="6192" w:type="dxa"/>
            <w:tcBorders>
              <w:top w:val="single" w:sz="4" w:space="0" w:color="E2E8F0"/>
              <w:bottom w:val="single" w:sz="4" w:space="0" w:color="CBD5E1"/>
            </w:tcBorders>
            <w:shd w:val="clear" w:color="auto" w:fill="F8FAFC"/>
            <w:tcMar>
              <w:top w:w="80" w:type="dxa"/>
              <w:left w:w="120" w:type="dxa"/>
              <w:bottom w:w="80" w:type="dxa"/>
              <w:right w:w="120" w:type="dxa"/>
            </w:tcMar>
          </w:tcPr>
          <w:p w14:paraId="223DD44A" w14:textId="77777777" w:rsidR="00672932" w:rsidRDefault="00000000">
            <w:pPr>
              <w:spacing w:after="0"/>
            </w:pPr>
            <w:r>
              <w:rPr>
                <w:rFonts w:ascii="Calibri" w:hAnsi="Calibri"/>
                <w:color w:val="2D3748"/>
                <w:sz w:val="19"/>
              </w:rPr>
              <w:t>Minto Pyramid &amp; SCQA Executive Storytelling Architecture, 10-Slide Blueprint &amp; FAQ Matrix</w:t>
            </w:r>
          </w:p>
        </w:tc>
      </w:tr>
      <w:tr w:rsidR="00672932" w14:paraId="06E75C36" w14:textId="77777777">
        <w:trPr>
          <w:jc w:val="center"/>
        </w:trPr>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33B57873" w14:textId="77777777" w:rsidR="00672932" w:rsidRDefault="00000000">
            <w:pPr>
              <w:spacing w:after="0"/>
            </w:pPr>
            <w:r>
              <w:rPr>
                <w:rFonts w:ascii="Calibri" w:hAnsi="Calibri"/>
                <w:color w:val="2D3748"/>
                <w:sz w:val="19"/>
              </w:rPr>
              <w:t>Document Status</w:t>
            </w:r>
          </w:p>
        </w:tc>
        <w:tc>
          <w:tcPr>
            <w:tcW w:w="6192" w:type="dxa"/>
            <w:tcBorders>
              <w:top w:val="single" w:sz="4" w:space="0" w:color="E2E8F0"/>
              <w:bottom w:val="single" w:sz="4" w:space="0" w:color="CBD5E1"/>
            </w:tcBorders>
            <w:shd w:val="clear" w:color="auto" w:fill="FFFFFF"/>
            <w:tcMar>
              <w:top w:w="80" w:type="dxa"/>
              <w:left w:w="120" w:type="dxa"/>
              <w:bottom w:w="80" w:type="dxa"/>
              <w:right w:w="120" w:type="dxa"/>
            </w:tcMar>
          </w:tcPr>
          <w:p w14:paraId="53DAAB38" w14:textId="77777777" w:rsidR="00672932" w:rsidRDefault="00000000">
            <w:pPr>
              <w:spacing w:after="0"/>
            </w:pPr>
            <w:r>
              <w:rPr>
                <w:rFonts w:ascii="Calibri" w:hAnsi="Calibri"/>
                <w:color w:val="2D3748"/>
                <w:sz w:val="19"/>
              </w:rPr>
              <w:t>Production Final — Version 1.0 (Executive Review Ready)</w:t>
            </w:r>
          </w:p>
        </w:tc>
      </w:tr>
    </w:tbl>
    <w:p w14:paraId="74C9476D" w14:textId="77777777" w:rsidR="00672932" w:rsidRDefault="00672932">
      <w:pPr>
        <w:spacing w:after="120"/>
      </w:pPr>
    </w:p>
    <w:p w14:paraId="68C60932" w14:textId="77777777" w:rsidR="00672932" w:rsidRDefault="00000000">
      <w:r>
        <w:br w:type="page"/>
      </w:r>
    </w:p>
    <w:p w14:paraId="105BB2E3" w14:textId="77777777" w:rsidR="00672932" w:rsidRDefault="00000000">
      <w:pPr>
        <w:pStyle w:val="Heading1"/>
        <w:spacing w:before="320" w:after="120"/>
      </w:pPr>
      <w:r>
        <w:rPr>
          <w:rFonts w:ascii="Calibri" w:hAnsi="Calibri"/>
          <w:color w:val="1B365D"/>
          <w:sz w:val="36"/>
        </w:rPr>
        <w:lastRenderedPageBreak/>
        <w:t>1. Executive Summary</w:t>
      </w:r>
    </w:p>
    <w:p w14:paraId="28EA5B46" w14:textId="77777777" w:rsidR="00672932" w:rsidRDefault="00000000">
      <w:pPr>
        <w:spacing w:after="120"/>
      </w:pPr>
      <w:r>
        <w:rPr>
          <w:rFonts w:ascii="Calibri" w:hAnsi="Calibri"/>
          <w:b/>
          <w:color w:val="1A202C"/>
          <w:sz w:val="21"/>
        </w:rPr>
        <w:t xml:space="preserve">Business Context &amp; Mandate: </w:t>
      </w:r>
      <w:r>
        <w:rPr>
          <w:rFonts w:ascii="Calibri" w:hAnsi="Calibri"/>
          <w:color w:val="2D3748"/>
          <w:sz w:val="21"/>
        </w:rPr>
        <w:t>In modern recurring-revenue business models, customer acquisition costs (CAC) continue to escalate across enterprise software markets. Retaining existing contracted revenue and optimizing Net Revenue Retention (NRR) have become the single most vital operational levers for sustainable enterprise valuation and long-term profitability. This comprehensive report synthesizes the end-to-end data science investigation for Project Horizon, a hypothetical enterprise SaaS platform experiencing an annual gross customer churn rate of 14.2%, representing approximately $12.8M in Annual Recurring Revenue (ARR) at risk.</w:t>
      </w:r>
    </w:p>
    <w:p w14:paraId="41BC57BC" w14:textId="77777777" w:rsidR="00672932" w:rsidRDefault="00000000">
      <w:pPr>
        <w:spacing w:after="120"/>
      </w:pPr>
      <w:r>
        <w:rPr>
          <w:rFonts w:ascii="Calibri" w:hAnsi="Calibri"/>
          <w:b/>
          <w:color w:val="1A202C"/>
          <w:sz w:val="21"/>
        </w:rPr>
        <w:t xml:space="preserve">Core Analytical Objective: </w:t>
      </w:r>
      <w:r>
        <w:rPr>
          <w:rFonts w:ascii="Calibri" w:hAnsi="Calibri"/>
          <w:color w:val="2D3748"/>
          <w:sz w:val="21"/>
        </w:rPr>
        <w:t>The overarching mandate of this initiative was to engineer a high-precision, interpretable predictive early-warning system capable of forecasting customer attrition risk 60 to 90 days prior to contract expiration, uncovering the root behavioral and operational drivers of churn, and establishing an economically optimal retention intervention framework.</w:t>
      </w:r>
    </w:p>
    <w:tbl>
      <w:tblPr>
        <w:tblW w:w="0" w:type="auto"/>
        <w:jc w:val="center"/>
        <w:tblLayout w:type="fixed"/>
        <w:tblLook w:val="04A0" w:firstRow="1" w:lastRow="0" w:firstColumn="1" w:lastColumn="0" w:noHBand="0" w:noVBand="1"/>
      </w:tblPr>
      <w:tblGrid>
        <w:gridCol w:w="9360"/>
      </w:tblGrid>
      <w:tr w:rsidR="00672932" w14:paraId="1F608B43" w14:textId="77777777">
        <w:trPr>
          <w:jc w:val="center"/>
        </w:trPr>
        <w:tc>
          <w:tcPr>
            <w:tcW w:w="9360" w:type="dxa"/>
            <w:tcBorders>
              <w:left w:val="single" w:sz="36" w:space="0" w:color="1B365D"/>
            </w:tcBorders>
            <w:shd w:val="clear" w:color="auto" w:fill="F0F4F8"/>
            <w:tcMar>
              <w:top w:w="140" w:type="dxa"/>
              <w:left w:w="200" w:type="dxa"/>
              <w:bottom w:w="140" w:type="dxa"/>
              <w:right w:w="180" w:type="dxa"/>
            </w:tcMar>
          </w:tcPr>
          <w:p w14:paraId="717E8FD3" w14:textId="77777777" w:rsidR="00672932" w:rsidRDefault="00000000">
            <w:pPr>
              <w:spacing w:before="40" w:after="80"/>
            </w:pPr>
            <w:r>
              <w:rPr>
                <w:rFonts w:ascii="Calibri" w:hAnsi="Calibri"/>
                <w:b/>
                <w:color w:val="1B365D"/>
              </w:rPr>
              <w:t>📌 Executive Key Findings &amp; Financial Impact Summary</w:t>
            </w:r>
            <w:r>
              <w:rPr>
                <w:rFonts w:ascii="Calibri" w:hAnsi="Calibri"/>
                <w:b/>
                <w:color w:val="1B365D"/>
              </w:rPr>
              <w:br/>
            </w:r>
            <w:r>
              <w:rPr>
                <w:rFonts w:ascii="Calibri" w:hAnsi="Calibri"/>
                <w:color w:val="2D3748"/>
                <w:sz w:val="20"/>
              </w:rPr>
              <w:t>• Early Identification Power: The machine learning ensemble captures 73.4% of all potential churners within the top 20% of accounts flagged by the model (Lift = 3.67x over random baseline).</w:t>
            </w:r>
            <w:r>
              <w:rPr>
                <w:rFonts w:ascii="Calibri" w:hAnsi="Calibri"/>
                <w:color w:val="2D3748"/>
                <w:sz w:val="20"/>
              </w:rPr>
              <w:br/>
              <w:t>• The 90-Day 'Onboarding Cliff': Accounts adopting fewer than 4 core features in their first 90 days experience a 32% retention drop compared to highly engaged accounts.</w:t>
            </w:r>
            <w:r>
              <w:rPr>
                <w:rFonts w:ascii="Calibri" w:hAnsi="Calibri"/>
                <w:color w:val="2D3748"/>
                <w:sz w:val="20"/>
              </w:rPr>
              <w:br/>
              <w:t>• Support Friction Escalation: Unresolved Tier-1/Tier-2 support tickets multiply churn likelihood by up to 6.2x in Enterprise accounts.</w:t>
            </w:r>
            <w:r>
              <w:rPr>
                <w:rFonts w:ascii="Calibri" w:hAnsi="Calibri"/>
                <w:color w:val="2D3748"/>
                <w:sz w:val="20"/>
              </w:rPr>
              <w:br/>
              <w:t>• Economic ROI Frontier: Targeting the top 22% of high-risk accounts through a tiered proactive Customer Success playbook delivers a projected $4.22M in preserved net ARR against an intervention cost of $910K, yielding a 4.6x Net ROI.</w:t>
            </w:r>
          </w:p>
        </w:tc>
      </w:tr>
    </w:tbl>
    <w:p w14:paraId="55CB5BAF" w14:textId="77777777" w:rsidR="00672932" w:rsidRDefault="00672932">
      <w:pPr>
        <w:spacing w:after="80"/>
      </w:pPr>
    </w:p>
    <w:p w14:paraId="75893A50" w14:textId="77777777" w:rsidR="00672932" w:rsidRDefault="00000000">
      <w:pPr>
        <w:spacing w:after="120"/>
      </w:pPr>
      <w:r>
        <w:rPr>
          <w:rFonts w:ascii="Calibri" w:hAnsi="Calibri"/>
          <w:color w:val="2D3748"/>
          <w:sz w:val="21"/>
        </w:rPr>
        <w:t>The table below details the baseline metrics versus the targeted post-implementation improvements under Project Horizon:</w:t>
      </w:r>
    </w:p>
    <w:tbl>
      <w:tblPr>
        <w:tblW w:w="0" w:type="auto"/>
        <w:jc w:val="center"/>
        <w:tblLayout w:type="fixed"/>
        <w:tblLook w:val="04A0" w:firstRow="1" w:lastRow="0" w:firstColumn="1" w:lastColumn="0" w:noHBand="0" w:noVBand="1"/>
      </w:tblPr>
      <w:tblGrid>
        <w:gridCol w:w="2592"/>
        <w:gridCol w:w="1872"/>
        <w:gridCol w:w="2016"/>
        <w:gridCol w:w="2880"/>
      </w:tblGrid>
      <w:tr w:rsidR="00672932" w14:paraId="6B5C587E" w14:textId="77777777">
        <w:trPr>
          <w:jc w:val="center"/>
        </w:trPr>
        <w:tc>
          <w:tcPr>
            <w:tcW w:w="2592" w:type="dxa"/>
            <w:tcBorders>
              <w:top w:val="single" w:sz="4" w:space="0" w:color="E2E8F0"/>
              <w:bottom w:val="single" w:sz="4" w:space="0" w:color="CBD5E1"/>
            </w:tcBorders>
            <w:shd w:val="clear" w:color="auto" w:fill="1B365D"/>
            <w:tcMar>
              <w:top w:w="100" w:type="dxa"/>
              <w:left w:w="120" w:type="dxa"/>
              <w:bottom w:w="100" w:type="dxa"/>
              <w:right w:w="120" w:type="dxa"/>
            </w:tcMar>
          </w:tcPr>
          <w:p w14:paraId="2C8F04ED" w14:textId="77777777" w:rsidR="00672932" w:rsidRDefault="00000000">
            <w:pPr>
              <w:spacing w:after="0"/>
            </w:pPr>
            <w:r>
              <w:rPr>
                <w:rFonts w:ascii="Calibri" w:hAnsi="Calibri"/>
                <w:b/>
                <w:color w:val="FFFFFF"/>
                <w:sz w:val="20"/>
              </w:rPr>
              <w:t>Key Performance Metric</w:t>
            </w:r>
          </w:p>
        </w:tc>
        <w:tc>
          <w:tcPr>
            <w:tcW w:w="1872" w:type="dxa"/>
            <w:tcBorders>
              <w:top w:val="single" w:sz="4" w:space="0" w:color="E2E8F0"/>
              <w:bottom w:val="single" w:sz="4" w:space="0" w:color="CBD5E1"/>
            </w:tcBorders>
            <w:shd w:val="clear" w:color="auto" w:fill="1B365D"/>
            <w:tcMar>
              <w:top w:w="100" w:type="dxa"/>
              <w:left w:w="120" w:type="dxa"/>
              <w:bottom w:w="100" w:type="dxa"/>
              <w:right w:w="120" w:type="dxa"/>
            </w:tcMar>
          </w:tcPr>
          <w:p w14:paraId="05BCC74D" w14:textId="77777777" w:rsidR="00672932" w:rsidRDefault="00000000">
            <w:pPr>
              <w:spacing w:after="0"/>
            </w:pPr>
            <w:r>
              <w:rPr>
                <w:rFonts w:ascii="Calibri" w:hAnsi="Calibri"/>
                <w:b/>
                <w:color w:val="FFFFFF"/>
                <w:sz w:val="20"/>
              </w:rPr>
              <w:t>Historical Baseline</w:t>
            </w:r>
          </w:p>
        </w:tc>
        <w:tc>
          <w:tcPr>
            <w:tcW w:w="2016" w:type="dxa"/>
            <w:tcBorders>
              <w:top w:val="single" w:sz="4" w:space="0" w:color="E2E8F0"/>
              <w:bottom w:val="single" w:sz="4" w:space="0" w:color="CBD5E1"/>
            </w:tcBorders>
            <w:shd w:val="clear" w:color="auto" w:fill="1B365D"/>
            <w:tcMar>
              <w:top w:w="100" w:type="dxa"/>
              <w:left w:w="120" w:type="dxa"/>
              <w:bottom w:w="100" w:type="dxa"/>
              <w:right w:w="120" w:type="dxa"/>
            </w:tcMar>
          </w:tcPr>
          <w:p w14:paraId="36368839" w14:textId="77777777" w:rsidR="00672932" w:rsidRDefault="00000000">
            <w:pPr>
              <w:spacing w:after="0"/>
            </w:pPr>
            <w:r>
              <w:rPr>
                <w:rFonts w:ascii="Calibri" w:hAnsi="Calibri"/>
                <w:b/>
                <w:color w:val="FFFFFF"/>
                <w:sz w:val="20"/>
              </w:rPr>
              <w:t>Model-Driven Target</w:t>
            </w:r>
          </w:p>
        </w:tc>
        <w:tc>
          <w:tcPr>
            <w:tcW w:w="2880" w:type="dxa"/>
            <w:tcBorders>
              <w:top w:val="single" w:sz="4" w:space="0" w:color="E2E8F0"/>
              <w:bottom w:val="single" w:sz="4" w:space="0" w:color="CBD5E1"/>
            </w:tcBorders>
            <w:shd w:val="clear" w:color="auto" w:fill="1B365D"/>
            <w:tcMar>
              <w:top w:w="100" w:type="dxa"/>
              <w:left w:w="120" w:type="dxa"/>
              <w:bottom w:w="100" w:type="dxa"/>
              <w:right w:w="120" w:type="dxa"/>
            </w:tcMar>
          </w:tcPr>
          <w:p w14:paraId="6514D5D6" w14:textId="77777777" w:rsidR="00672932" w:rsidRDefault="00000000">
            <w:pPr>
              <w:spacing w:after="0"/>
            </w:pPr>
            <w:r>
              <w:rPr>
                <w:rFonts w:ascii="Calibri" w:hAnsi="Calibri"/>
                <w:b/>
                <w:color w:val="FFFFFF"/>
                <w:sz w:val="20"/>
              </w:rPr>
              <w:t>Projected Enterprise Impact</w:t>
            </w:r>
          </w:p>
        </w:tc>
      </w:tr>
      <w:tr w:rsidR="00672932" w14:paraId="67222545"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50BBCD3D" w14:textId="77777777" w:rsidR="00672932" w:rsidRDefault="00000000">
            <w:pPr>
              <w:spacing w:after="0"/>
            </w:pPr>
            <w:r>
              <w:rPr>
                <w:rFonts w:ascii="Calibri" w:hAnsi="Calibri"/>
                <w:color w:val="2D3748"/>
                <w:sz w:val="19"/>
              </w:rPr>
              <w:t>Annual Gross Churn Rate</w:t>
            </w:r>
          </w:p>
        </w:tc>
        <w:tc>
          <w:tcPr>
            <w:tcW w:w="1872" w:type="dxa"/>
            <w:tcBorders>
              <w:top w:val="single" w:sz="4" w:space="0" w:color="E2E8F0"/>
              <w:bottom w:val="single" w:sz="4" w:space="0" w:color="CBD5E1"/>
            </w:tcBorders>
            <w:shd w:val="clear" w:color="auto" w:fill="FFFFFF"/>
            <w:tcMar>
              <w:top w:w="80" w:type="dxa"/>
              <w:left w:w="120" w:type="dxa"/>
              <w:bottom w:w="80" w:type="dxa"/>
              <w:right w:w="120" w:type="dxa"/>
            </w:tcMar>
          </w:tcPr>
          <w:p w14:paraId="4FBD738D" w14:textId="77777777" w:rsidR="00672932" w:rsidRDefault="00000000">
            <w:pPr>
              <w:spacing w:after="0"/>
            </w:pPr>
            <w:r>
              <w:rPr>
                <w:rFonts w:ascii="Calibri" w:hAnsi="Calibri"/>
                <w:color w:val="2D3748"/>
                <w:sz w:val="19"/>
              </w:rPr>
              <w:t>14.2% ARR</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3206D29F" w14:textId="77777777" w:rsidR="00672932" w:rsidRDefault="00000000">
            <w:pPr>
              <w:spacing w:after="0"/>
            </w:pPr>
            <w:r>
              <w:rPr>
                <w:rFonts w:ascii="Calibri" w:hAnsi="Calibri"/>
                <w:color w:val="2D3748"/>
                <w:sz w:val="19"/>
              </w:rPr>
              <w:t>9.5% ARR</w:t>
            </w:r>
          </w:p>
        </w:tc>
        <w:tc>
          <w:tcPr>
            <w:tcW w:w="2880" w:type="dxa"/>
            <w:tcBorders>
              <w:top w:val="single" w:sz="4" w:space="0" w:color="E2E8F0"/>
              <w:bottom w:val="single" w:sz="4" w:space="0" w:color="CBD5E1"/>
            </w:tcBorders>
            <w:shd w:val="clear" w:color="auto" w:fill="FFFFFF"/>
            <w:tcMar>
              <w:top w:w="80" w:type="dxa"/>
              <w:left w:w="120" w:type="dxa"/>
              <w:bottom w:w="80" w:type="dxa"/>
              <w:right w:w="120" w:type="dxa"/>
            </w:tcMar>
          </w:tcPr>
          <w:p w14:paraId="4ACAF4E7" w14:textId="77777777" w:rsidR="00672932" w:rsidRDefault="00000000">
            <w:pPr>
              <w:spacing w:after="0"/>
            </w:pPr>
            <w:r>
              <w:rPr>
                <w:rFonts w:ascii="Calibri" w:hAnsi="Calibri"/>
                <w:color w:val="2D3748"/>
                <w:sz w:val="19"/>
              </w:rPr>
              <w:t>33.1% reduction in churn volume</w:t>
            </w:r>
          </w:p>
        </w:tc>
      </w:tr>
      <w:tr w:rsidR="00672932" w14:paraId="6EE950B9"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23FCC2BA" w14:textId="77777777" w:rsidR="00672932" w:rsidRDefault="00000000">
            <w:pPr>
              <w:spacing w:after="0"/>
            </w:pPr>
            <w:r>
              <w:rPr>
                <w:rFonts w:ascii="Calibri" w:hAnsi="Calibri"/>
                <w:color w:val="2D3748"/>
                <w:sz w:val="19"/>
              </w:rPr>
              <w:t>Net Revenue Retention (NRR)</w:t>
            </w:r>
          </w:p>
        </w:tc>
        <w:tc>
          <w:tcPr>
            <w:tcW w:w="1872" w:type="dxa"/>
            <w:tcBorders>
              <w:top w:val="single" w:sz="4" w:space="0" w:color="E2E8F0"/>
              <w:bottom w:val="single" w:sz="4" w:space="0" w:color="CBD5E1"/>
            </w:tcBorders>
            <w:shd w:val="clear" w:color="auto" w:fill="F8FAFC"/>
            <w:tcMar>
              <w:top w:w="80" w:type="dxa"/>
              <w:left w:w="120" w:type="dxa"/>
              <w:bottom w:w="80" w:type="dxa"/>
              <w:right w:w="120" w:type="dxa"/>
            </w:tcMar>
          </w:tcPr>
          <w:p w14:paraId="32C71A4F" w14:textId="77777777" w:rsidR="00672932" w:rsidRDefault="00000000">
            <w:pPr>
              <w:spacing w:after="0"/>
            </w:pPr>
            <w:r>
              <w:rPr>
                <w:rFonts w:ascii="Calibri" w:hAnsi="Calibri"/>
                <w:color w:val="2D3748"/>
                <w:sz w:val="19"/>
              </w:rPr>
              <w:t>102.4%</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1B492025" w14:textId="77777777" w:rsidR="00672932" w:rsidRDefault="00000000">
            <w:pPr>
              <w:spacing w:after="0"/>
            </w:pPr>
            <w:r>
              <w:rPr>
                <w:rFonts w:ascii="Calibri" w:hAnsi="Calibri"/>
                <w:color w:val="2D3748"/>
                <w:sz w:val="19"/>
              </w:rPr>
              <w:t>109.8%</w:t>
            </w:r>
          </w:p>
        </w:tc>
        <w:tc>
          <w:tcPr>
            <w:tcW w:w="2880" w:type="dxa"/>
            <w:tcBorders>
              <w:top w:val="single" w:sz="4" w:space="0" w:color="E2E8F0"/>
              <w:bottom w:val="single" w:sz="4" w:space="0" w:color="CBD5E1"/>
            </w:tcBorders>
            <w:shd w:val="clear" w:color="auto" w:fill="F8FAFC"/>
            <w:tcMar>
              <w:top w:w="80" w:type="dxa"/>
              <w:left w:w="120" w:type="dxa"/>
              <w:bottom w:w="80" w:type="dxa"/>
              <w:right w:w="120" w:type="dxa"/>
            </w:tcMar>
          </w:tcPr>
          <w:p w14:paraId="5F62DDF1" w14:textId="77777777" w:rsidR="00672932" w:rsidRDefault="00000000">
            <w:pPr>
              <w:spacing w:after="0"/>
            </w:pPr>
            <w:r>
              <w:rPr>
                <w:rFonts w:ascii="Calibri" w:hAnsi="Calibri"/>
                <w:color w:val="2D3748"/>
                <w:sz w:val="19"/>
              </w:rPr>
              <w:t>+740 bps expansion in annual recurring baseline</w:t>
            </w:r>
          </w:p>
        </w:tc>
      </w:tr>
      <w:tr w:rsidR="00672932" w14:paraId="25A2FB30"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07CAB1D0" w14:textId="77777777" w:rsidR="00672932" w:rsidRDefault="00000000">
            <w:pPr>
              <w:spacing w:after="0"/>
            </w:pPr>
            <w:r>
              <w:rPr>
                <w:rFonts w:ascii="Calibri" w:hAnsi="Calibri"/>
                <w:color w:val="2D3748"/>
                <w:sz w:val="19"/>
              </w:rPr>
              <w:t>Churn Warning Lead Time</w:t>
            </w:r>
          </w:p>
        </w:tc>
        <w:tc>
          <w:tcPr>
            <w:tcW w:w="1872" w:type="dxa"/>
            <w:tcBorders>
              <w:top w:val="single" w:sz="4" w:space="0" w:color="E2E8F0"/>
              <w:bottom w:val="single" w:sz="4" w:space="0" w:color="CBD5E1"/>
            </w:tcBorders>
            <w:shd w:val="clear" w:color="auto" w:fill="FFFFFF"/>
            <w:tcMar>
              <w:top w:w="80" w:type="dxa"/>
              <w:left w:w="120" w:type="dxa"/>
              <w:bottom w:w="80" w:type="dxa"/>
              <w:right w:w="120" w:type="dxa"/>
            </w:tcMar>
          </w:tcPr>
          <w:p w14:paraId="06141B8F" w14:textId="77777777" w:rsidR="00672932" w:rsidRDefault="00000000">
            <w:pPr>
              <w:spacing w:after="0"/>
            </w:pPr>
            <w:r>
              <w:rPr>
                <w:rFonts w:ascii="Calibri" w:hAnsi="Calibri"/>
                <w:color w:val="2D3748"/>
                <w:sz w:val="19"/>
              </w:rPr>
              <w:t>14 Days (Reactive)</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4C71E9C2" w14:textId="77777777" w:rsidR="00672932" w:rsidRDefault="00000000">
            <w:pPr>
              <w:spacing w:after="0"/>
            </w:pPr>
            <w:r>
              <w:rPr>
                <w:rFonts w:ascii="Calibri" w:hAnsi="Calibri"/>
                <w:color w:val="2D3748"/>
                <w:sz w:val="19"/>
              </w:rPr>
              <w:t>60-90 Days (Proactive)</w:t>
            </w:r>
          </w:p>
        </w:tc>
        <w:tc>
          <w:tcPr>
            <w:tcW w:w="2880" w:type="dxa"/>
            <w:tcBorders>
              <w:top w:val="single" w:sz="4" w:space="0" w:color="E2E8F0"/>
              <w:bottom w:val="single" w:sz="4" w:space="0" w:color="CBD5E1"/>
            </w:tcBorders>
            <w:shd w:val="clear" w:color="auto" w:fill="FFFFFF"/>
            <w:tcMar>
              <w:top w:w="80" w:type="dxa"/>
              <w:left w:w="120" w:type="dxa"/>
              <w:bottom w:w="80" w:type="dxa"/>
              <w:right w:w="120" w:type="dxa"/>
            </w:tcMar>
          </w:tcPr>
          <w:p w14:paraId="492182C7" w14:textId="77777777" w:rsidR="00672932" w:rsidRDefault="00000000">
            <w:pPr>
              <w:spacing w:after="0"/>
            </w:pPr>
            <w:r>
              <w:rPr>
                <w:rFonts w:ascii="Calibri" w:hAnsi="Calibri"/>
                <w:color w:val="2D3748"/>
                <w:sz w:val="19"/>
              </w:rPr>
              <w:t>300% increase in Customer Success response runway</w:t>
            </w:r>
          </w:p>
        </w:tc>
      </w:tr>
      <w:tr w:rsidR="00672932" w14:paraId="38143EF9"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788B33AE" w14:textId="77777777" w:rsidR="00672932" w:rsidRDefault="00000000">
            <w:pPr>
              <w:spacing w:after="0"/>
            </w:pPr>
            <w:r>
              <w:rPr>
                <w:rFonts w:ascii="Calibri" w:hAnsi="Calibri"/>
                <w:color w:val="2D3748"/>
                <w:sz w:val="19"/>
              </w:rPr>
              <w:t>Proactive Intervention Precision</w:t>
            </w:r>
          </w:p>
        </w:tc>
        <w:tc>
          <w:tcPr>
            <w:tcW w:w="1872" w:type="dxa"/>
            <w:tcBorders>
              <w:top w:val="single" w:sz="4" w:space="0" w:color="E2E8F0"/>
              <w:bottom w:val="single" w:sz="4" w:space="0" w:color="CBD5E1"/>
            </w:tcBorders>
            <w:shd w:val="clear" w:color="auto" w:fill="F8FAFC"/>
            <w:tcMar>
              <w:top w:w="80" w:type="dxa"/>
              <w:left w:w="120" w:type="dxa"/>
              <w:bottom w:w="80" w:type="dxa"/>
              <w:right w:w="120" w:type="dxa"/>
            </w:tcMar>
          </w:tcPr>
          <w:p w14:paraId="0F4A92D9" w14:textId="77777777" w:rsidR="00672932" w:rsidRDefault="00000000">
            <w:pPr>
              <w:spacing w:after="0"/>
            </w:pPr>
            <w:r>
              <w:rPr>
                <w:rFonts w:ascii="Calibri" w:hAnsi="Calibri"/>
                <w:color w:val="2D3748"/>
                <w:sz w:val="19"/>
              </w:rPr>
              <w:t>24.0% (Rule-based heuristics)</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3AF05364" w14:textId="77777777" w:rsidR="00672932" w:rsidRDefault="00000000">
            <w:pPr>
              <w:spacing w:after="0"/>
            </w:pPr>
            <w:r>
              <w:rPr>
                <w:rFonts w:ascii="Calibri" w:hAnsi="Calibri"/>
                <w:color w:val="2D3748"/>
                <w:sz w:val="19"/>
              </w:rPr>
              <w:t>78.2% (Top Decile Precision)</w:t>
            </w:r>
          </w:p>
        </w:tc>
        <w:tc>
          <w:tcPr>
            <w:tcW w:w="2880" w:type="dxa"/>
            <w:tcBorders>
              <w:top w:val="single" w:sz="4" w:space="0" w:color="E2E8F0"/>
              <w:bottom w:val="single" w:sz="4" w:space="0" w:color="CBD5E1"/>
            </w:tcBorders>
            <w:shd w:val="clear" w:color="auto" w:fill="F8FAFC"/>
            <w:tcMar>
              <w:top w:w="80" w:type="dxa"/>
              <w:left w:w="120" w:type="dxa"/>
              <w:bottom w:w="80" w:type="dxa"/>
              <w:right w:w="120" w:type="dxa"/>
            </w:tcMar>
          </w:tcPr>
          <w:p w14:paraId="30BC04E3" w14:textId="77777777" w:rsidR="00672932" w:rsidRDefault="00000000">
            <w:pPr>
              <w:spacing w:after="0"/>
            </w:pPr>
            <w:r>
              <w:rPr>
                <w:rFonts w:ascii="Calibri" w:hAnsi="Calibri"/>
                <w:color w:val="2D3748"/>
                <w:sz w:val="19"/>
              </w:rPr>
              <w:t>Eliminates alert fatigue and misdirected retention spend</w:t>
            </w:r>
          </w:p>
        </w:tc>
      </w:tr>
      <w:tr w:rsidR="00672932" w14:paraId="6AD86B64"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7BC0AD5F" w14:textId="77777777" w:rsidR="00672932" w:rsidRDefault="00000000">
            <w:pPr>
              <w:spacing w:after="0"/>
            </w:pPr>
            <w:r>
              <w:rPr>
                <w:rFonts w:ascii="Calibri" w:hAnsi="Calibri"/>
                <w:color w:val="2D3748"/>
                <w:sz w:val="19"/>
              </w:rPr>
              <w:t>Net ARR Preserved / Year</w:t>
            </w:r>
          </w:p>
        </w:tc>
        <w:tc>
          <w:tcPr>
            <w:tcW w:w="1872" w:type="dxa"/>
            <w:tcBorders>
              <w:top w:val="single" w:sz="4" w:space="0" w:color="E2E8F0"/>
              <w:bottom w:val="single" w:sz="4" w:space="0" w:color="CBD5E1"/>
            </w:tcBorders>
            <w:shd w:val="clear" w:color="auto" w:fill="FFFFFF"/>
            <w:tcMar>
              <w:top w:w="80" w:type="dxa"/>
              <w:left w:w="120" w:type="dxa"/>
              <w:bottom w:w="80" w:type="dxa"/>
              <w:right w:w="120" w:type="dxa"/>
            </w:tcMar>
          </w:tcPr>
          <w:p w14:paraId="29C80A54" w14:textId="77777777" w:rsidR="00672932" w:rsidRDefault="00000000">
            <w:pPr>
              <w:spacing w:after="0"/>
            </w:pPr>
            <w:r>
              <w:rPr>
                <w:rFonts w:ascii="Calibri" w:hAnsi="Calibri"/>
                <w:color w:val="2D3748"/>
                <w:sz w:val="19"/>
              </w:rPr>
              <w:t>$0 (Baseline Run-rate)</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7A40F2E2" w14:textId="77777777" w:rsidR="00672932" w:rsidRDefault="00000000">
            <w:pPr>
              <w:spacing w:after="0"/>
            </w:pPr>
            <w:r>
              <w:rPr>
                <w:rFonts w:ascii="Calibri" w:hAnsi="Calibri"/>
                <w:color w:val="2D3748"/>
                <w:sz w:val="19"/>
              </w:rPr>
              <w:t>$4.22 Million</w:t>
            </w:r>
          </w:p>
        </w:tc>
        <w:tc>
          <w:tcPr>
            <w:tcW w:w="2880" w:type="dxa"/>
            <w:tcBorders>
              <w:top w:val="single" w:sz="4" w:space="0" w:color="E2E8F0"/>
              <w:bottom w:val="single" w:sz="4" w:space="0" w:color="CBD5E1"/>
            </w:tcBorders>
            <w:shd w:val="clear" w:color="auto" w:fill="FFFFFF"/>
            <w:tcMar>
              <w:top w:w="80" w:type="dxa"/>
              <w:left w:w="120" w:type="dxa"/>
              <w:bottom w:w="80" w:type="dxa"/>
              <w:right w:w="120" w:type="dxa"/>
            </w:tcMar>
          </w:tcPr>
          <w:p w14:paraId="28B2B50D" w14:textId="77777777" w:rsidR="00672932" w:rsidRDefault="00000000">
            <w:pPr>
              <w:spacing w:after="0"/>
            </w:pPr>
            <w:r>
              <w:rPr>
                <w:rFonts w:ascii="Calibri" w:hAnsi="Calibri"/>
                <w:color w:val="2D3748"/>
                <w:sz w:val="19"/>
              </w:rPr>
              <w:t>Direct contribution to free cash flow and enterprise multiple</w:t>
            </w:r>
          </w:p>
        </w:tc>
      </w:tr>
    </w:tbl>
    <w:p w14:paraId="0B9CD9F6" w14:textId="77777777" w:rsidR="00672932" w:rsidRDefault="00672932">
      <w:pPr>
        <w:spacing w:after="120"/>
      </w:pPr>
    </w:p>
    <w:p w14:paraId="1B6264F2" w14:textId="77777777" w:rsidR="00672932" w:rsidRDefault="00000000">
      <w:pPr>
        <w:pStyle w:val="Heading1"/>
        <w:spacing w:before="320" w:after="120"/>
      </w:pPr>
      <w:r>
        <w:rPr>
          <w:rFonts w:ascii="Calibri" w:hAnsi="Calibri"/>
          <w:color w:val="1B365D"/>
          <w:sz w:val="36"/>
        </w:rPr>
        <w:t>2. Methodology Review</w:t>
      </w:r>
    </w:p>
    <w:p w14:paraId="28C762B2" w14:textId="77777777" w:rsidR="00672932" w:rsidRDefault="00000000">
      <w:pPr>
        <w:spacing w:after="120"/>
      </w:pPr>
      <w:r>
        <w:rPr>
          <w:rFonts w:ascii="Calibri" w:hAnsi="Calibri"/>
          <w:b/>
          <w:color w:val="1A202C"/>
          <w:sz w:val="21"/>
        </w:rPr>
        <w:t xml:space="preserve">Analytical Architecture: </w:t>
      </w:r>
      <w:r>
        <w:rPr>
          <w:rFonts w:ascii="Calibri" w:hAnsi="Calibri"/>
          <w:color w:val="2D3748"/>
          <w:sz w:val="21"/>
        </w:rPr>
        <w:t>To construct a robust, production-grade intelligence framework, the project followed an end-to-end analytical architecture comprising five rigorous phases: Data Ingestion &amp; Unification, Feature Engineering &amp; Behavioral Profiling, Supervised Machine Learning Ensemble Modeling, Survival Analysis, and Cost-Sensitive Threshold Optimization.</w:t>
      </w:r>
    </w:p>
    <w:p w14:paraId="042204C9" w14:textId="77777777" w:rsidR="00672932" w:rsidRDefault="00000000">
      <w:pPr>
        <w:pStyle w:val="Heading2"/>
        <w:spacing w:before="240" w:after="80"/>
      </w:pPr>
      <w:r>
        <w:rPr>
          <w:rFonts w:ascii="Calibri" w:hAnsi="Calibri"/>
          <w:color w:val="006699"/>
          <w:sz w:val="28"/>
        </w:rPr>
        <w:t>2.1 Data Ingestion, Synthesis &amp; Entity Unification</w:t>
      </w:r>
    </w:p>
    <w:p w14:paraId="281E3663" w14:textId="77777777" w:rsidR="00672932" w:rsidRDefault="00000000">
      <w:pPr>
        <w:spacing w:after="120"/>
      </w:pPr>
      <w:r>
        <w:rPr>
          <w:rFonts w:ascii="Calibri" w:hAnsi="Calibri"/>
          <w:color w:val="2D3748"/>
          <w:sz w:val="21"/>
        </w:rPr>
        <w:t>The unified dataset synthesized historical telemetry, commercial contracts, customer interactions, and billing records across 50,000 corporate accounts over a continuous 24-month rolling observation window. The data schema was structured across four distinct data vectors:</w:t>
      </w:r>
    </w:p>
    <w:tbl>
      <w:tblPr>
        <w:tblW w:w="0" w:type="auto"/>
        <w:jc w:val="center"/>
        <w:tblLayout w:type="fixed"/>
        <w:tblLook w:val="04A0" w:firstRow="1" w:lastRow="0" w:firstColumn="1" w:lastColumn="0" w:noHBand="0" w:noVBand="1"/>
      </w:tblPr>
      <w:tblGrid>
        <w:gridCol w:w="2160"/>
        <w:gridCol w:w="1872"/>
        <w:gridCol w:w="3168"/>
        <w:gridCol w:w="2160"/>
      </w:tblGrid>
      <w:tr w:rsidR="00672932" w14:paraId="18984BB2" w14:textId="77777777">
        <w:trPr>
          <w:jc w:val="center"/>
        </w:trPr>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2A19439E" w14:textId="77777777" w:rsidR="00672932" w:rsidRDefault="00000000">
            <w:pPr>
              <w:spacing w:after="0"/>
            </w:pPr>
            <w:r>
              <w:rPr>
                <w:rFonts w:ascii="Calibri" w:hAnsi="Calibri"/>
                <w:b/>
                <w:color w:val="FFFFFF"/>
                <w:sz w:val="20"/>
              </w:rPr>
              <w:t>Data Vector</w:t>
            </w:r>
          </w:p>
        </w:tc>
        <w:tc>
          <w:tcPr>
            <w:tcW w:w="1872" w:type="dxa"/>
            <w:tcBorders>
              <w:top w:val="single" w:sz="4" w:space="0" w:color="E2E8F0"/>
              <w:bottom w:val="single" w:sz="4" w:space="0" w:color="CBD5E1"/>
            </w:tcBorders>
            <w:shd w:val="clear" w:color="auto" w:fill="1B365D"/>
            <w:tcMar>
              <w:top w:w="100" w:type="dxa"/>
              <w:left w:w="120" w:type="dxa"/>
              <w:bottom w:w="100" w:type="dxa"/>
              <w:right w:w="120" w:type="dxa"/>
            </w:tcMar>
          </w:tcPr>
          <w:p w14:paraId="2643BB19" w14:textId="77777777" w:rsidR="00672932" w:rsidRDefault="00000000">
            <w:pPr>
              <w:spacing w:after="0"/>
            </w:pPr>
            <w:r>
              <w:rPr>
                <w:rFonts w:ascii="Calibri" w:hAnsi="Calibri"/>
                <w:b/>
                <w:color w:val="FFFFFF"/>
                <w:sz w:val="20"/>
              </w:rPr>
              <w:t>Source System</w:t>
            </w:r>
          </w:p>
        </w:tc>
        <w:tc>
          <w:tcPr>
            <w:tcW w:w="3168" w:type="dxa"/>
            <w:tcBorders>
              <w:top w:val="single" w:sz="4" w:space="0" w:color="E2E8F0"/>
              <w:bottom w:val="single" w:sz="4" w:space="0" w:color="CBD5E1"/>
            </w:tcBorders>
            <w:shd w:val="clear" w:color="auto" w:fill="1B365D"/>
            <w:tcMar>
              <w:top w:w="100" w:type="dxa"/>
              <w:left w:w="120" w:type="dxa"/>
              <w:bottom w:w="100" w:type="dxa"/>
              <w:right w:w="120" w:type="dxa"/>
            </w:tcMar>
          </w:tcPr>
          <w:p w14:paraId="0F6D787D" w14:textId="77777777" w:rsidR="00672932" w:rsidRDefault="00000000">
            <w:pPr>
              <w:spacing w:after="0"/>
            </w:pPr>
            <w:r>
              <w:rPr>
                <w:rFonts w:ascii="Calibri" w:hAnsi="Calibri"/>
                <w:b/>
                <w:color w:val="FFFFFF"/>
                <w:sz w:val="20"/>
              </w:rPr>
              <w:t>Extracted Attributes &amp; Telemetry</w:t>
            </w:r>
          </w:p>
        </w:tc>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75B4150B" w14:textId="77777777" w:rsidR="00672932" w:rsidRDefault="00000000">
            <w:pPr>
              <w:spacing w:after="0"/>
            </w:pPr>
            <w:r>
              <w:rPr>
                <w:rFonts w:ascii="Calibri" w:hAnsi="Calibri"/>
                <w:b/>
                <w:color w:val="FFFFFF"/>
                <w:sz w:val="20"/>
              </w:rPr>
              <w:t>Preprocessing &amp; Cleaning Protocol</w:t>
            </w:r>
          </w:p>
        </w:tc>
      </w:tr>
      <w:tr w:rsidR="00672932" w14:paraId="4CE1D8F9"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259CB984" w14:textId="77777777" w:rsidR="00672932" w:rsidRDefault="00000000">
            <w:pPr>
              <w:spacing w:after="0"/>
            </w:pPr>
            <w:r>
              <w:rPr>
                <w:rFonts w:ascii="Calibri" w:hAnsi="Calibri"/>
                <w:color w:val="2D3748"/>
                <w:sz w:val="19"/>
              </w:rPr>
              <w:t>Product Behavioral Telemetry</w:t>
            </w:r>
          </w:p>
        </w:tc>
        <w:tc>
          <w:tcPr>
            <w:tcW w:w="1872" w:type="dxa"/>
            <w:tcBorders>
              <w:top w:val="single" w:sz="4" w:space="0" w:color="E2E8F0"/>
              <w:bottom w:val="single" w:sz="4" w:space="0" w:color="CBD5E1"/>
            </w:tcBorders>
            <w:shd w:val="clear" w:color="auto" w:fill="FFFFFF"/>
            <w:tcMar>
              <w:top w:w="80" w:type="dxa"/>
              <w:left w:w="120" w:type="dxa"/>
              <w:bottom w:w="80" w:type="dxa"/>
              <w:right w:w="120" w:type="dxa"/>
            </w:tcMar>
          </w:tcPr>
          <w:p w14:paraId="0885CC3B" w14:textId="77777777" w:rsidR="00672932" w:rsidRDefault="00000000">
            <w:pPr>
              <w:spacing w:after="0"/>
            </w:pPr>
            <w:r>
              <w:rPr>
                <w:rFonts w:ascii="Calibri" w:hAnsi="Calibri"/>
                <w:color w:val="2D3748"/>
                <w:sz w:val="19"/>
              </w:rPr>
              <w:t>Event Streaming (Kafka/Segment)</w:t>
            </w:r>
          </w:p>
        </w:tc>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0FF8ADA8" w14:textId="77777777" w:rsidR="00672932" w:rsidRDefault="00000000">
            <w:pPr>
              <w:spacing w:after="0"/>
            </w:pPr>
            <w:r>
              <w:rPr>
                <w:rFonts w:ascii="Calibri" w:hAnsi="Calibri"/>
                <w:color w:val="2D3748"/>
                <w:sz w:val="19"/>
              </w:rPr>
              <w:t>Daily Active Users (DAU), Monthly Active Users (MAU), session length, feature clickstream, API calls, export actions.</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522ABEAD" w14:textId="77777777" w:rsidR="00672932" w:rsidRDefault="00000000">
            <w:pPr>
              <w:spacing w:after="0"/>
            </w:pPr>
            <w:r>
              <w:rPr>
                <w:rFonts w:ascii="Calibri" w:hAnsi="Calibri"/>
                <w:color w:val="2D3748"/>
                <w:sz w:val="19"/>
              </w:rPr>
              <w:t>Missing timestamp imputation, sessionization aggregation, time-decayed rolling averages (7d, 30d, 90d).</w:t>
            </w:r>
          </w:p>
        </w:tc>
      </w:tr>
      <w:tr w:rsidR="00672932" w14:paraId="0DDA909A" w14:textId="77777777">
        <w:trPr>
          <w:jc w:val="center"/>
        </w:trPr>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0F4DB867" w14:textId="77777777" w:rsidR="00672932" w:rsidRDefault="00000000">
            <w:pPr>
              <w:spacing w:after="0"/>
            </w:pPr>
            <w:r>
              <w:rPr>
                <w:rFonts w:ascii="Calibri" w:hAnsi="Calibri"/>
                <w:color w:val="2D3748"/>
                <w:sz w:val="19"/>
              </w:rPr>
              <w:t>Commercial &amp; Financial Records</w:t>
            </w:r>
          </w:p>
        </w:tc>
        <w:tc>
          <w:tcPr>
            <w:tcW w:w="1872" w:type="dxa"/>
            <w:tcBorders>
              <w:top w:val="single" w:sz="4" w:space="0" w:color="E2E8F0"/>
              <w:bottom w:val="single" w:sz="4" w:space="0" w:color="CBD5E1"/>
            </w:tcBorders>
            <w:shd w:val="clear" w:color="auto" w:fill="F8FAFC"/>
            <w:tcMar>
              <w:top w:w="80" w:type="dxa"/>
              <w:left w:w="120" w:type="dxa"/>
              <w:bottom w:w="80" w:type="dxa"/>
              <w:right w:w="120" w:type="dxa"/>
            </w:tcMar>
          </w:tcPr>
          <w:p w14:paraId="33A80922" w14:textId="77777777" w:rsidR="00672932" w:rsidRDefault="00000000">
            <w:pPr>
              <w:spacing w:after="0"/>
            </w:pPr>
            <w:r>
              <w:rPr>
                <w:rFonts w:ascii="Calibri" w:hAnsi="Calibri"/>
                <w:color w:val="2D3748"/>
                <w:sz w:val="19"/>
              </w:rPr>
              <w:t>ERP / Subscription Billing (Stripe/Zuora)</w:t>
            </w:r>
          </w:p>
        </w:tc>
        <w:tc>
          <w:tcPr>
            <w:tcW w:w="3168" w:type="dxa"/>
            <w:tcBorders>
              <w:top w:val="single" w:sz="4" w:space="0" w:color="E2E8F0"/>
              <w:bottom w:val="single" w:sz="4" w:space="0" w:color="CBD5E1"/>
            </w:tcBorders>
            <w:shd w:val="clear" w:color="auto" w:fill="F8FAFC"/>
            <w:tcMar>
              <w:top w:w="80" w:type="dxa"/>
              <w:left w:w="120" w:type="dxa"/>
              <w:bottom w:w="80" w:type="dxa"/>
              <w:right w:w="120" w:type="dxa"/>
            </w:tcMar>
          </w:tcPr>
          <w:p w14:paraId="50731C4A" w14:textId="77777777" w:rsidR="00672932" w:rsidRDefault="00000000">
            <w:pPr>
              <w:spacing w:after="0"/>
            </w:pPr>
            <w:r>
              <w:rPr>
                <w:rFonts w:ascii="Calibri" w:hAnsi="Calibri"/>
                <w:color w:val="2D3748"/>
                <w:sz w:val="19"/>
              </w:rPr>
              <w:t>Contract tier (Enterprise, Mid-Market, SMB), ARR, payment terms, billing failures, invoice aging, discounting history.</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6B1132E6" w14:textId="77777777" w:rsidR="00672932" w:rsidRDefault="00000000">
            <w:pPr>
              <w:spacing w:after="0"/>
            </w:pPr>
            <w:r>
              <w:rPr>
                <w:rFonts w:ascii="Calibri" w:hAnsi="Calibri"/>
                <w:color w:val="2D3748"/>
                <w:sz w:val="19"/>
              </w:rPr>
              <w:t>One-hot encoding of plan tiers, logarithmic transformation of ARR, payment failure count aggregation.</w:t>
            </w:r>
          </w:p>
        </w:tc>
      </w:tr>
      <w:tr w:rsidR="00672932" w14:paraId="3D34E2A4"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14EA1EEB" w14:textId="77777777" w:rsidR="00672932" w:rsidRDefault="00000000">
            <w:pPr>
              <w:spacing w:after="0"/>
            </w:pPr>
            <w:r>
              <w:rPr>
                <w:rFonts w:ascii="Calibri" w:hAnsi="Calibri"/>
                <w:color w:val="2D3748"/>
                <w:sz w:val="19"/>
              </w:rPr>
              <w:t>Customer Success &amp; Support</w:t>
            </w:r>
          </w:p>
        </w:tc>
        <w:tc>
          <w:tcPr>
            <w:tcW w:w="1872" w:type="dxa"/>
            <w:tcBorders>
              <w:top w:val="single" w:sz="4" w:space="0" w:color="E2E8F0"/>
              <w:bottom w:val="single" w:sz="4" w:space="0" w:color="CBD5E1"/>
            </w:tcBorders>
            <w:shd w:val="clear" w:color="auto" w:fill="FFFFFF"/>
            <w:tcMar>
              <w:top w:w="80" w:type="dxa"/>
              <w:left w:w="120" w:type="dxa"/>
              <w:bottom w:w="80" w:type="dxa"/>
              <w:right w:w="120" w:type="dxa"/>
            </w:tcMar>
          </w:tcPr>
          <w:p w14:paraId="74B0CEF9" w14:textId="77777777" w:rsidR="00672932" w:rsidRDefault="00000000">
            <w:pPr>
              <w:spacing w:after="0"/>
            </w:pPr>
            <w:r>
              <w:rPr>
                <w:rFonts w:ascii="Calibri" w:hAnsi="Calibri"/>
                <w:color w:val="2D3748"/>
                <w:sz w:val="19"/>
              </w:rPr>
              <w:t>CRM / Helpdesk (Salesforce/Zendesk)</w:t>
            </w:r>
          </w:p>
        </w:tc>
        <w:tc>
          <w:tcPr>
            <w:tcW w:w="3168" w:type="dxa"/>
            <w:tcBorders>
              <w:top w:val="single" w:sz="4" w:space="0" w:color="E2E8F0"/>
              <w:bottom w:val="single" w:sz="4" w:space="0" w:color="CBD5E1"/>
            </w:tcBorders>
            <w:shd w:val="clear" w:color="auto" w:fill="FFFFFF"/>
            <w:tcMar>
              <w:top w:w="80" w:type="dxa"/>
              <w:left w:w="120" w:type="dxa"/>
              <w:bottom w:w="80" w:type="dxa"/>
              <w:right w:w="120" w:type="dxa"/>
            </w:tcMar>
          </w:tcPr>
          <w:p w14:paraId="3E0109BD" w14:textId="77777777" w:rsidR="00672932" w:rsidRDefault="00000000">
            <w:pPr>
              <w:spacing w:after="0"/>
            </w:pPr>
            <w:r>
              <w:rPr>
                <w:rFonts w:ascii="Calibri" w:hAnsi="Calibri"/>
                <w:color w:val="2D3748"/>
                <w:sz w:val="19"/>
              </w:rPr>
              <w:t>Support ticket frequency, resolution time, Sev-1/Sev-2 escalations, Customer Success Manager (CSM) touchpoints.</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48DF6510" w14:textId="77777777" w:rsidR="00672932" w:rsidRDefault="00000000">
            <w:pPr>
              <w:spacing w:after="0"/>
            </w:pPr>
            <w:r>
              <w:rPr>
                <w:rFonts w:ascii="Calibri" w:hAnsi="Calibri"/>
                <w:color w:val="2D3748"/>
                <w:sz w:val="19"/>
              </w:rPr>
              <w:t>NLP sentiment scoring of ticket bodies, escalation ratio calculation, touchpoint recency calculation.</w:t>
            </w:r>
          </w:p>
        </w:tc>
      </w:tr>
      <w:tr w:rsidR="00672932" w14:paraId="7DE8841A" w14:textId="77777777">
        <w:trPr>
          <w:jc w:val="center"/>
        </w:trPr>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30E78086" w14:textId="77777777" w:rsidR="00672932" w:rsidRDefault="00000000">
            <w:pPr>
              <w:spacing w:after="0"/>
            </w:pPr>
            <w:r>
              <w:rPr>
                <w:rFonts w:ascii="Calibri" w:hAnsi="Calibri"/>
                <w:color w:val="2D3748"/>
                <w:sz w:val="19"/>
              </w:rPr>
              <w:t>Customer Sentiment &amp; Voice of Customer</w:t>
            </w:r>
          </w:p>
        </w:tc>
        <w:tc>
          <w:tcPr>
            <w:tcW w:w="1872" w:type="dxa"/>
            <w:tcBorders>
              <w:top w:val="single" w:sz="4" w:space="0" w:color="E2E8F0"/>
              <w:bottom w:val="single" w:sz="4" w:space="0" w:color="CBD5E1"/>
            </w:tcBorders>
            <w:shd w:val="clear" w:color="auto" w:fill="F8FAFC"/>
            <w:tcMar>
              <w:top w:w="80" w:type="dxa"/>
              <w:left w:w="120" w:type="dxa"/>
              <w:bottom w:w="80" w:type="dxa"/>
              <w:right w:w="120" w:type="dxa"/>
            </w:tcMar>
          </w:tcPr>
          <w:p w14:paraId="3C3A7171" w14:textId="77777777" w:rsidR="00672932" w:rsidRDefault="00000000">
            <w:pPr>
              <w:spacing w:after="0"/>
            </w:pPr>
            <w:r>
              <w:rPr>
                <w:rFonts w:ascii="Calibri" w:hAnsi="Calibri"/>
                <w:color w:val="2D3748"/>
                <w:sz w:val="19"/>
              </w:rPr>
              <w:t>Survey Engine (Qualtrics)</w:t>
            </w:r>
          </w:p>
        </w:tc>
        <w:tc>
          <w:tcPr>
            <w:tcW w:w="3168" w:type="dxa"/>
            <w:tcBorders>
              <w:top w:val="single" w:sz="4" w:space="0" w:color="E2E8F0"/>
              <w:bottom w:val="single" w:sz="4" w:space="0" w:color="CBD5E1"/>
            </w:tcBorders>
            <w:shd w:val="clear" w:color="auto" w:fill="F8FAFC"/>
            <w:tcMar>
              <w:top w:w="80" w:type="dxa"/>
              <w:left w:w="120" w:type="dxa"/>
              <w:bottom w:w="80" w:type="dxa"/>
              <w:right w:w="120" w:type="dxa"/>
            </w:tcMar>
          </w:tcPr>
          <w:p w14:paraId="291ED0F2" w14:textId="77777777" w:rsidR="00672932" w:rsidRDefault="00000000">
            <w:pPr>
              <w:spacing w:after="0"/>
            </w:pPr>
            <w:r>
              <w:rPr>
                <w:rFonts w:ascii="Calibri" w:hAnsi="Calibri"/>
                <w:color w:val="2D3748"/>
                <w:sz w:val="19"/>
              </w:rPr>
              <w:t>Net Promoter Score (NPS), CSAT ratings, customer onboarding survey responses.</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E42A60A" w14:textId="77777777" w:rsidR="00672932" w:rsidRDefault="00000000">
            <w:pPr>
              <w:spacing w:after="0"/>
            </w:pPr>
            <w:r>
              <w:rPr>
                <w:rFonts w:ascii="Calibri" w:hAnsi="Calibri"/>
                <w:color w:val="2D3748"/>
                <w:sz w:val="19"/>
              </w:rPr>
              <w:t>Weight of Evidence (WoE) transformation, missing response imputation via median within account tier.</w:t>
            </w:r>
          </w:p>
        </w:tc>
      </w:tr>
    </w:tbl>
    <w:p w14:paraId="5C20DBAB" w14:textId="77777777" w:rsidR="00672932" w:rsidRDefault="00672932">
      <w:pPr>
        <w:spacing w:after="120"/>
      </w:pPr>
    </w:p>
    <w:p w14:paraId="739823A2" w14:textId="77777777" w:rsidR="00672932" w:rsidRDefault="00000000">
      <w:pPr>
        <w:pStyle w:val="Heading2"/>
        <w:spacing w:before="240" w:after="80"/>
      </w:pPr>
      <w:r>
        <w:rPr>
          <w:rFonts w:ascii="Calibri" w:hAnsi="Calibri"/>
          <w:color w:val="006699"/>
          <w:sz w:val="28"/>
        </w:rPr>
        <w:t>2.2 Feature Engineering &amp; Signal Extraction</w:t>
      </w:r>
    </w:p>
    <w:p w14:paraId="2E9BE900" w14:textId="77777777" w:rsidR="00672932" w:rsidRDefault="00000000">
      <w:pPr>
        <w:spacing w:after="120"/>
      </w:pPr>
      <w:r>
        <w:rPr>
          <w:rFonts w:ascii="Calibri" w:hAnsi="Calibri"/>
          <w:color w:val="2D3748"/>
          <w:sz w:val="21"/>
        </w:rPr>
        <w:t>Over 120 candidate features were engineered to capture temporal dynamics, velocity, and inflection points in user behavior rather than static historical totals. Key feature categories included:</w:t>
      </w:r>
    </w:p>
    <w:p w14:paraId="2E467540" w14:textId="77777777" w:rsidR="00672932" w:rsidRDefault="00000000">
      <w:pPr>
        <w:spacing w:after="120"/>
      </w:pPr>
      <w:r>
        <w:rPr>
          <w:rFonts w:ascii="Calibri" w:hAnsi="Calibri"/>
          <w:color w:val="2D3748"/>
          <w:sz w:val="21"/>
        </w:rPr>
        <w:t>1. Velocity &amp; Decay Metrics: Calculating the 30-day vs 90-day MAU ratio (Activity Momentum) to identify sudden engagement drop-offs.</w:t>
      </w:r>
      <w:r>
        <w:rPr>
          <w:rFonts w:ascii="Calibri" w:hAnsi="Calibri"/>
          <w:color w:val="2D3748"/>
          <w:sz w:val="21"/>
        </w:rPr>
        <w:br/>
        <w:t>2. Depth of Adoption Ratios: Computing the ratio of unique advanced features utilized relative to total available features in the licensed tier.</w:t>
      </w:r>
      <w:r>
        <w:rPr>
          <w:rFonts w:ascii="Calibri" w:hAnsi="Calibri"/>
          <w:color w:val="2D3748"/>
          <w:sz w:val="21"/>
        </w:rPr>
        <w:br/>
        <w:t>3. Organizational Breadth: Quantifying multi-departmental seat penetration and executive sponsor login recency.</w:t>
      </w:r>
      <w:r>
        <w:rPr>
          <w:rFonts w:ascii="Calibri" w:hAnsi="Calibri"/>
          <w:color w:val="2D3748"/>
          <w:sz w:val="21"/>
        </w:rPr>
        <w:br/>
        <w:t>4. Friction Accumulation Score: Composite index combining unresolved ticket duration, invoice disputes, and CSAT detractor ratings.</w:t>
      </w:r>
    </w:p>
    <w:p w14:paraId="600CE054" w14:textId="77777777" w:rsidR="00672932" w:rsidRDefault="00000000">
      <w:pPr>
        <w:pStyle w:val="Heading2"/>
        <w:spacing w:before="240" w:after="80"/>
      </w:pPr>
      <w:r>
        <w:rPr>
          <w:rFonts w:ascii="Calibri" w:hAnsi="Calibri"/>
          <w:color w:val="006699"/>
          <w:sz w:val="28"/>
        </w:rPr>
        <w:t>2.3 Machine Learning Algorithm Benchmark &amp; Model Selection</w:t>
      </w:r>
    </w:p>
    <w:p w14:paraId="6906ECAD" w14:textId="77777777" w:rsidR="00672932" w:rsidRDefault="00000000">
      <w:pPr>
        <w:spacing w:after="120"/>
      </w:pPr>
      <w:r>
        <w:rPr>
          <w:rFonts w:ascii="Calibri" w:hAnsi="Calibri"/>
          <w:color w:val="2D3748"/>
          <w:sz w:val="21"/>
        </w:rPr>
        <w:t>A rigorous multi-algorithm benchmarking experiment was conducted across Logistic Regression (Baseline), Random Forest, LightGBM, CatBoost, and an Extreme Gradient Boosting (XGBoost) ensemble. Models were evaluated using Stratified 5-Fold Time-Series Cross-Validation to eliminate temporal lookahead leakage. The benchmark results are summarized below:</w:t>
      </w:r>
    </w:p>
    <w:tbl>
      <w:tblPr>
        <w:tblW w:w="0" w:type="auto"/>
        <w:jc w:val="center"/>
        <w:tblLayout w:type="fixed"/>
        <w:tblLook w:val="04A0" w:firstRow="1" w:lastRow="0" w:firstColumn="1" w:lastColumn="0" w:noHBand="0" w:noVBand="1"/>
      </w:tblPr>
      <w:tblGrid>
        <w:gridCol w:w="2592"/>
        <w:gridCol w:w="1296"/>
        <w:gridCol w:w="1152"/>
        <w:gridCol w:w="1296"/>
        <w:gridCol w:w="1584"/>
        <w:gridCol w:w="1440"/>
      </w:tblGrid>
      <w:tr w:rsidR="00672932" w14:paraId="2770AECE" w14:textId="77777777">
        <w:trPr>
          <w:jc w:val="center"/>
        </w:trPr>
        <w:tc>
          <w:tcPr>
            <w:tcW w:w="2592" w:type="dxa"/>
            <w:tcBorders>
              <w:top w:val="single" w:sz="4" w:space="0" w:color="E2E8F0"/>
              <w:bottom w:val="single" w:sz="4" w:space="0" w:color="CBD5E1"/>
            </w:tcBorders>
            <w:shd w:val="clear" w:color="auto" w:fill="1B365D"/>
            <w:tcMar>
              <w:top w:w="100" w:type="dxa"/>
              <w:left w:w="120" w:type="dxa"/>
              <w:bottom w:w="100" w:type="dxa"/>
              <w:right w:w="120" w:type="dxa"/>
            </w:tcMar>
          </w:tcPr>
          <w:p w14:paraId="49B293D8" w14:textId="77777777" w:rsidR="00672932" w:rsidRDefault="00000000">
            <w:pPr>
              <w:spacing w:after="0"/>
            </w:pPr>
            <w:r>
              <w:rPr>
                <w:rFonts w:ascii="Calibri" w:hAnsi="Calibri"/>
                <w:b/>
                <w:color w:val="FFFFFF"/>
                <w:sz w:val="20"/>
              </w:rPr>
              <w:t>Candidate Algorithm</w:t>
            </w:r>
          </w:p>
        </w:tc>
        <w:tc>
          <w:tcPr>
            <w:tcW w:w="1296" w:type="dxa"/>
            <w:tcBorders>
              <w:top w:val="single" w:sz="4" w:space="0" w:color="E2E8F0"/>
              <w:bottom w:val="single" w:sz="4" w:space="0" w:color="CBD5E1"/>
            </w:tcBorders>
            <w:shd w:val="clear" w:color="auto" w:fill="1B365D"/>
            <w:tcMar>
              <w:top w:w="100" w:type="dxa"/>
              <w:left w:w="120" w:type="dxa"/>
              <w:bottom w:w="100" w:type="dxa"/>
              <w:right w:w="120" w:type="dxa"/>
            </w:tcMar>
          </w:tcPr>
          <w:p w14:paraId="62DEADFE" w14:textId="77777777" w:rsidR="00672932" w:rsidRDefault="00000000">
            <w:pPr>
              <w:spacing w:after="0"/>
            </w:pPr>
            <w:r>
              <w:rPr>
                <w:rFonts w:ascii="Calibri" w:hAnsi="Calibri"/>
                <w:b/>
                <w:color w:val="FFFFFF"/>
                <w:sz w:val="20"/>
              </w:rPr>
              <w:t>Validation PR-AUC</w:t>
            </w:r>
          </w:p>
        </w:tc>
        <w:tc>
          <w:tcPr>
            <w:tcW w:w="1152" w:type="dxa"/>
            <w:tcBorders>
              <w:top w:val="single" w:sz="4" w:space="0" w:color="E2E8F0"/>
              <w:bottom w:val="single" w:sz="4" w:space="0" w:color="CBD5E1"/>
            </w:tcBorders>
            <w:shd w:val="clear" w:color="auto" w:fill="1B365D"/>
            <w:tcMar>
              <w:top w:w="100" w:type="dxa"/>
              <w:left w:w="120" w:type="dxa"/>
              <w:bottom w:w="100" w:type="dxa"/>
              <w:right w:w="120" w:type="dxa"/>
            </w:tcMar>
          </w:tcPr>
          <w:p w14:paraId="13C5D207" w14:textId="77777777" w:rsidR="00672932" w:rsidRDefault="00000000">
            <w:pPr>
              <w:spacing w:after="0"/>
            </w:pPr>
            <w:r>
              <w:rPr>
                <w:rFonts w:ascii="Calibri" w:hAnsi="Calibri"/>
                <w:b/>
                <w:color w:val="FFFFFF"/>
                <w:sz w:val="20"/>
              </w:rPr>
              <w:t>ROC-AUC</w:t>
            </w:r>
          </w:p>
        </w:tc>
        <w:tc>
          <w:tcPr>
            <w:tcW w:w="1296" w:type="dxa"/>
            <w:tcBorders>
              <w:top w:val="single" w:sz="4" w:space="0" w:color="E2E8F0"/>
              <w:bottom w:val="single" w:sz="4" w:space="0" w:color="CBD5E1"/>
            </w:tcBorders>
            <w:shd w:val="clear" w:color="auto" w:fill="1B365D"/>
            <w:tcMar>
              <w:top w:w="100" w:type="dxa"/>
              <w:left w:w="120" w:type="dxa"/>
              <w:bottom w:w="100" w:type="dxa"/>
              <w:right w:w="120" w:type="dxa"/>
            </w:tcMar>
          </w:tcPr>
          <w:p w14:paraId="27170779" w14:textId="77777777" w:rsidR="00672932" w:rsidRDefault="00000000">
            <w:pPr>
              <w:spacing w:after="0"/>
            </w:pPr>
            <w:r>
              <w:rPr>
                <w:rFonts w:ascii="Calibri" w:hAnsi="Calibri"/>
                <w:b/>
                <w:color w:val="FFFFFF"/>
                <w:sz w:val="20"/>
              </w:rPr>
              <w:t>Top-20% Lift</w:t>
            </w:r>
          </w:p>
        </w:tc>
        <w:tc>
          <w:tcPr>
            <w:tcW w:w="1584" w:type="dxa"/>
            <w:tcBorders>
              <w:top w:val="single" w:sz="4" w:space="0" w:color="E2E8F0"/>
              <w:bottom w:val="single" w:sz="4" w:space="0" w:color="CBD5E1"/>
            </w:tcBorders>
            <w:shd w:val="clear" w:color="auto" w:fill="1B365D"/>
            <w:tcMar>
              <w:top w:w="100" w:type="dxa"/>
              <w:left w:w="120" w:type="dxa"/>
              <w:bottom w:w="100" w:type="dxa"/>
              <w:right w:w="120" w:type="dxa"/>
            </w:tcMar>
          </w:tcPr>
          <w:p w14:paraId="398677E3" w14:textId="77777777" w:rsidR="00672932" w:rsidRDefault="00000000">
            <w:pPr>
              <w:spacing w:after="0"/>
            </w:pPr>
            <w:r>
              <w:rPr>
                <w:rFonts w:ascii="Calibri" w:hAnsi="Calibri"/>
                <w:b/>
                <w:color w:val="FFFFFF"/>
                <w:sz w:val="20"/>
              </w:rPr>
              <w:t>Inference Latency (p95)</w:t>
            </w:r>
          </w:p>
        </w:tc>
        <w:tc>
          <w:tcPr>
            <w:tcW w:w="1440" w:type="dxa"/>
            <w:tcBorders>
              <w:top w:val="single" w:sz="4" w:space="0" w:color="E2E8F0"/>
              <w:bottom w:val="single" w:sz="4" w:space="0" w:color="CBD5E1"/>
            </w:tcBorders>
            <w:shd w:val="clear" w:color="auto" w:fill="1B365D"/>
            <w:tcMar>
              <w:top w:w="100" w:type="dxa"/>
              <w:left w:w="120" w:type="dxa"/>
              <w:bottom w:w="100" w:type="dxa"/>
              <w:right w:w="120" w:type="dxa"/>
            </w:tcMar>
          </w:tcPr>
          <w:p w14:paraId="76B20B84" w14:textId="77777777" w:rsidR="00672932" w:rsidRDefault="00000000">
            <w:pPr>
              <w:spacing w:after="0"/>
            </w:pPr>
            <w:r>
              <w:rPr>
                <w:rFonts w:ascii="Calibri" w:hAnsi="Calibri"/>
                <w:b/>
                <w:color w:val="FFFFFF"/>
                <w:sz w:val="20"/>
              </w:rPr>
              <w:t>Interpretability Score</w:t>
            </w:r>
          </w:p>
        </w:tc>
      </w:tr>
      <w:tr w:rsidR="00672932" w14:paraId="0E352432"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28EEE563" w14:textId="77777777" w:rsidR="00672932" w:rsidRDefault="00000000">
            <w:pPr>
              <w:spacing w:after="0"/>
            </w:pPr>
            <w:r>
              <w:rPr>
                <w:rFonts w:ascii="Calibri" w:hAnsi="Calibri"/>
                <w:color w:val="2D3748"/>
                <w:sz w:val="19"/>
              </w:rPr>
              <w:t>ElasticNet Logistic Regression (Baseline)</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6FE2C48E" w14:textId="77777777" w:rsidR="00672932" w:rsidRDefault="00000000">
            <w:pPr>
              <w:spacing w:after="0"/>
            </w:pPr>
            <w:r>
              <w:rPr>
                <w:rFonts w:ascii="Calibri" w:hAnsi="Calibri"/>
                <w:color w:val="2D3748"/>
                <w:sz w:val="19"/>
              </w:rPr>
              <w:t>0.582</w:t>
            </w:r>
          </w:p>
        </w:tc>
        <w:tc>
          <w:tcPr>
            <w:tcW w:w="1152" w:type="dxa"/>
            <w:tcBorders>
              <w:top w:val="single" w:sz="4" w:space="0" w:color="E2E8F0"/>
              <w:bottom w:val="single" w:sz="4" w:space="0" w:color="CBD5E1"/>
            </w:tcBorders>
            <w:shd w:val="clear" w:color="auto" w:fill="FFFFFF"/>
            <w:tcMar>
              <w:top w:w="80" w:type="dxa"/>
              <w:left w:w="120" w:type="dxa"/>
              <w:bottom w:w="80" w:type="dxa"/>
              <w:right w:w="120" w:type="dxa"/>
            </w:tcMar>
          </w:tcPr>
          <w:p w14:paraId="699B6143" w14:textId="77777777" w:rsidR="00672932" w:rsidRDefault="00000000">
            <w:pPr>
              <w:spacing w:after="0"/>
            </w:pPr>
            <w:r>
              <w:rPr>
                <w:rFonts w:ascii="Calibri" w:hAnsi="Calibri"/>
                <w:color w:val="2D3748"/>
                <w:sz w:val="19"/>
              </w:rPr>
              <w:t>0.714</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08EF33EA" w14:textId="77777777" w:rsidR="00672932" w:rsidRDefault="00000000">
            <w:pPr>
              <w:spacing w:after="0"/>
            </w:pPr>
            <w:r>
              <w:rPr>
                <w:rFonts w:ascii="Calibri" w:hAnsi="Calibri"/>
                <w:color w:val="2D3748"/>
                <w:sz w:val="19"/>
              </w:rPr>
              <w:t>2.10x</w:t>
            </w:r>
          </w:p>
        </w:tc>
        <w:tc>
          <w:tcPr>
            <w:tcW w:w="1584" w:type="dxa"/>
            <w:tcBorders>
              <w:top w:val="single" w:sz="4" w:space="0" w:color="E2E8F0"/>
              <w:bottom w:val="single" w:sz="4" w:space="0" w:color="CBD5E1"/>
            </w:tcBorders>
            <w:shd w:val="clear" w:color="auto" w:fill="FFFFFF"/>
            <w:tcMar>
              <w:top w:w="80" w:type="dxa"/>
              <w:left w:w="120" w:type="dxa"/>
              <w:bottom w:w="80" w:type="dxa"/>
              <w:right w:w="120" w:type="dxa"/>
            </w:tcMar>
          </w:tcPr>
          <w:p w14:paraId="5BA7530D" w14:textId="77777777" w:rsidR="00672932" w:rsidRDefault="00000000">
            <w:pPr>
              <w:spacing w:after="0"/>
            </w:pPr>
            <w:r>
              <w:rPr>
                <w:rFonts w:ascii="Calibri" w:hAnsi="Calibri"/>
                <w:color w:val="2D3748"/>
                <w:sz w:val="19"/>
              </w:rPr>
              <w:t>1.2 ms</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3D29F8A8" w14:textId="77777777" w:rsidR="00672932" w:rsidRDefault="00000000">
            <w:pPr>
              <w:spacing w:after="0"/>
            </w:pPr>
            <w:r>
              <w:rPr>
                <w:rFonts w:ascii="Calibri" w:hAnsi="Calibri"/>
                <w:color w:val="2D3748"/>
                <w:sz w:val="19"/>
              </w:rPr>
              <w:t>Very High (Linear Weights)</w:t>
            </w:r>
          </w:p>
        </w:tc>
      </w:tr>
      <w:tr w:rsidR="00672932" w14:paraId="3D385005"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27BA3981" w14:textId="77777777" w:rsidR="00672932" w:rsidRDefault="00000000">
            <w:pPr>
              <w:spacing w:after="0"/>
            </w:pPr>
            <w:r>
              <w:rPr>
                <w:rFonts w:ascii="Calibri" w:hAnsi="Calibri"/>
                <w:color w:val="2D3748"/>
                <w:sz w:val="19"/>
              </w:rPr>
              <w:t>Random Forest Classifier (100 Trees)</w:t>
            </w:r>
          </w:p>
        </w:tc>
        <w:tc>
          <w:tcPr>
            <w:tcW w:w="1296" w:type="dxa"/>
            <w:tcBorders>
              <w:top w:val="single" w:sz="4" w:space="0" w:color="E2E8F0"/>
              <w:bottom w:val="single" w:sz="4" w:space="0" w:color="CBD5E1"/>
            </w:tcBorders>
            <w:shd w:val="clear" w:color="auto" w:fill="F8FAFC"/>
            <w:tcMar>
              <w:top w:w="80" w:type="dxa"/>
              <w:left w:w="120" w:type="dxa"/>
              <w:bottom w:w="80" w:type="dxa"/>
              <w:right w:w="120" w:type="dxa"/>
            </w:tcMar>
          </w:tcPr>
          <w:p w14:paraId="2E3CCB34" w14:textId="77777777" w:rsidR="00672932" w:rsidRDefault="00000000">
            <w:pPr>
              <w:spacing w:after="0"/>
            </w:pPr>
            <w:r>
              <w:rPr>
                <w:rFonts w:ascii="Calibri" w:hAnsi="Calibri"/>
                <w:color w:val="2D3748"/>
                <w:sz w:val="19"/>
              </w:rPr>
              <w:t>0.764</w:t>
            </w:r>
          </w:p>
        </w:tc>
        <w:tc>
          <w:tcPr>
            <w:tcW w:w="1152" w:type="dxa"/>
            <w:tcBorders>
              <w:top w:val="single" w:sz="4" w:space="0" w:color="E2E8F0"/>
              <w:bottom w:val="single" w:sz="4" w:space="0" w:color="CBD5E1"/>
            </w:tcBorders>
            <w:shd w:val="clear" w:color="auto" w:fill="F8FAFC"/>
            <w:tcMar>
              <w:top w:w="80" w:type="dxa"/>
              <w:left w:w="120" w:type="dxa"/>
              <w:bottom w:w="80" w:type="dxa"/>
              <w:right w:w="120" w:type="dxa"/>
            </w:tcMar>
          </w:tcPr>
          <w:p w14:paraId="6D4C4C59" w14:textId="77777777" w:rsidR="00672932" w:rsidRDefault="00000000">
            <w:pPr>
              <w:spacing w:after="0"/>
            </w:pPr>
            <w:r>
              <w:rPr>
                <w:rFonts w:ascii="Calibri" w:hAnsi="Calibri"/>
                <w:color w:val="2D3748"/>
                <w:sz w:val="19"/>
              </w:rPr>
              <w:t>0.835</w:t>
            </w:r>
          </w:p>
        </w:tc>
        <w:tc>
          <w:tcPr>
            <w:tcW w:w="1296" w:type="dxa"/>
            <w:tcBorders>
              <w:top w:val="single" w:sz="4" w:space="0" w:color="E2E8F0"/>
              <w:bottom w:val="single" w:sz="4" w:space="0" w:color="CBD5E1"/>
            </w:tcBorders>
            <w:shd w:val="clear" w:color="auto" w:fill="F8FAFC"/>
            <w:tcMar>
              <w:top w:w="80" w:type="dxa"/>
              <w:left w:w="120" w:type="dxa"/>
              <w:bottom w:w="80" w:type="dxa"/>
              <w:right w:w="120" w:type="dxa"/>
            </w:tcMar>
          </w:tcPr>
          <w:p w14:paraId="2319F6F5" w14:textId="77777777" w:rsidR="00672932" w:rsidRDefault="00000000">
            <w:pPr>
              <w:spacing w:after="0"/>
            </w:pPr>
            <w:r>
              <w:rPr>
                <w:rFonts w:ascii="Calibri" w:hAnsi="Calibri"/>
                <w:color w:val="2D3748"/>
                <w:sz w:val="19"/>
              </w:rPr>
              <w:t>3.12x</w:t>
            </w:r>
          </w:p>
        </w:tc>
        <w:tc>
          <w:tcPr>
            <w:tcW w:w="1584" w:type="dxa"/>
            <w:tcBorders>
              <w:top w:val="single" w:sz="4" w:space="0" w:color="E2E8F0"/>
              <w:bottom w:val="single" w:sz="4" w:space="0" w:color="CBD5E1"/>
            </w:tcBorders>
            <w:shd w:val="clear" w:color="auto" w:fill="F8FAFC"/>
            <w:tcMar>
              <w:top w:w="80" w:type="dxa"/>
              <w:left w:w="120" w:type="dxa"/>
              <w:bottom w:w="80" w:type="dxa"/>
              <w:right w:w="120" w:type="dxa"/>
            </w:tcMar>
          </w:tcPr>
          <w:p w14:paraId="3623DBF6" w14:textId="77777777" w:rsidR="00672932" w:rsidRDefault="00000000">
            <w:pPr>
              <w:spacing w:after="0"/>
            </w:pPr>
            <w:r>
              <w:rPr>
                <w:rFonts w:ascii="Calibri" w:hAnsi="Calibri"/>
                <w:color w:val="2D3748"/>
                <w:sz w:val="19"/>
              </w:rPr>
              <w:t>8.5 ms</w:t>
            </w:r>
          </w:p>
        </w:tc>
        <w:tc>
          <w:tcPr>
            <w:tcW w:w="1440" w:type="dxa"/>
            <w:tcBorders>
              <w:top w:val="single" w:sz="4" w:space="0" w:color="E2E8F0"/>
              <w:bottom w:val="single" w:sz="4" w:space="0" w:color="CBD5E1"/>
            </w:tcBorders>
            <w:shd w:val="clear" w:color="auto" w:fill="F8FAFC"/>
            <w:tcMar>
              <w:top w:w="80" w:type="dxa"/>
              <w:left w:w="120" w:type="dxa"/>
              <w:bottom w:w="80" w:type="dxa"/>
              <w:right w:w="120" w:type="dxa"/>
            </w:tcMar>
          </w:tcPr>
          <w:p w14:paraId="18BA46BC" w14:textId="77777777" w:rsidR="00672932" w:rsidRDefault="00000000">
            <w:pPr>
              <w:spacing w:after="0"/>
            </w:pPr>
            <w:r>
              <w:rPr>
                <w:rFonts w:ascii="Calibri" w:hAnsi="Calibri"/>
                <w:color w:val="2D3748"/>
                <w:sz w:val="19"/>
              </w:rPr>
              <w:t>Moderate (Tree SHAP)</w:t>
            </w:r>
          </w:p>
        </w:tc>
      </w:tr>
      <w:tr w:rsidR="00672932" w14:paraId="2464EC58"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3462B2B9" w14:textId="77777777" w:rsidR="00672932" w:rsidRDefault="00000000">
            <w:pPr>
              <w:spacing w:after="0"/>
            </w:pPr>
            <w:r>
              <w:rPr>
                <w:rFonts w:ascii="Calibri" w:hAnsi="Calibri"/>
                <w:color w:val="2D3748"/>
                <w:sz w:val="19"/>
              </w:rPr>
              <w:t>LightGBM (Gradient Boosted Trees)</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496F340E" w14:textId="77777777" w:rsidR="00672932" w:rsidRDefault="00000000">
            <w:pPr>
              <w:spacing w:after="0"/>
            </w:pPr>
            <w:r>
              <w:rPr>
                <w:rFonts w:ascii="Calibri" w:hAnsi="Calibri"/>
                <w:color w:val="2D3748"/>
                <w:sz w:val="19"/>
              </w:rPr>
              <w:t>0.838</w:t>
            </w:r>
          </w:p>
        </w:tc>
        <w:tc>
          <w:tcPr>
            <w:tcW w:w="1152" w:type="dxa"/>
            <w:tcBorders>
              <w:top w:val="single" w:sz="4" w:space="0" w:color="E2E8F0"/>
              <w:bottom w:val="single" w:sz="4" w:space="0" w:color="CBD5E1"/>
            </w:tcBorders>
            <w:shd w:val="clear" w:color="auto" w:fill="FFFFFF"/>
            <w:tcMar>
              <w:top w:w="80" w:type="dxa"/>
              <w:left w:w="120" w:type="dxa"/>
              <w:bottom w:w="80" w:type="dxa"/>
              <w:right w:w="120" w:type="dxa"/>
            </w:tcMar>
          </w:tcPr>
          <w:p w14:paraId="4A2CD68D" w14:textId="77777777" w:rsidR="00672932" w:rsidRDefault="00000000">
            <w:pPr>
              <w:spacing w:after="0"/>
            </w:pPr>
            <w:r>
              <w:rPr>
                <w:rFonts w:ascii="Calibri" w:hAnsi="Calibri"/>
                <w:color w:val="2D3748"/>
                <w:sz w:val="19"/>
              </w:rPr>
              <w:t>0.891</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352FB46B" w14:textId="77777777" w:rsidR="00672932" w:rsidRDefault="00000000">
            <w:pPr>
              <w:spacing w:after="0"/>
            </w:pPr>
            <w:r>
              <w:rPr>
                <w:rFonts w:ascii="Calibri" w:hAnsi="Calibri"/>
                <w:color w:val="2D3748"/>
                <w:sz w:val="19"/>
              </w:rPr>
              <w:t>3.62x</w:t>
            </w:r>
          </w:p>
        </w:tc>
        <w:tc>
          <w:tcPr>
            <w:tcW w:w="1584" w:type="dxa"/>
            <w:tcBorders>
              <w:top w:val="single" w:sz="4" w:space="0" w:color="E2E8F0"/>
              <w:bottom w:val="single" w:sz="4" w:space="0" w:color="CBD5E1"/>
            </w:tcBorders>
            <w:shd w:val="clear" w:color="auto" w:fill="FFFFFF"/>
            <w:tcMar>
              <w:top w:w="80" w:type="dxa"/>
              <w:left w:w="120" w:type="dxa"/>
              <w:bottom w:w="80" w:type="dxa"/>
              <w:right w:w="120" w:type="dxa"/>
            </w:tcMar>
          </w:tcPr>
          <w:p w14:paraId="02293482" w14:textId="77777777" w:rsidR="00672932" w:rsidRDefault="00000000">
            <w:pPr>
              <w:spacing w:after="0"/>
            </w:pPr>
            <w:r>
              <w:rPr>
                <w:rFonts w:ascii="Calibri" w:hAnsi="Calibri"/>
                <w:color w:val="2D3748"/>
                <w:sz w:val="19"/>
              </w:rPr>
              <w:t>3.4 ms</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01D00538" w14:textId="77777777" w:rsidR="00672932" w:rsidRDefault="00000000">
            <w:pPr>
              <w:spacing w:after="0"/>
            </w:pPr>
            <w:r>
              <w:rPr>
                <w:rFonts w:ascii="Calibri" w:hAnsi="Calibri"/>
                <w:color w:val="2D3748"/>
                <w:sz w:val="19"/>
              </w:rPr>
              <w:t>High (TreeSHAP / Fast)</w:t>
            </w:r>
          </w:p>
        </w:tc>
      </w:tr>
      <w:tr w:rsidR="00672932" w14:paraId="2FD534C6"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4ECBC2E1" w14:textId="77777777" w:rsidR="00672932" w:rsidRDefault="00000000">
            <w:pPr>
              <w:spacing w:after="0"/>
            </w:pPr>
            <w:r>
              <w:rPr>
                <w:rFonts w:ascii="Calibri" w:hAnsi="Calibri"/>
                <w:color w:val="2D3748"/>
                <w:sz w:val="19"/>
              </w:rPr>
              <w:t>XGBoost (Optimized via Optuna)</w:t>
            </w:r>
          </w:p>
        </w:tc>
        <w:tc>
          <w:tcPr>
            <w:tcW w:w="1296" w:type="dxa"/>
            <w:tcBorders>
              <w:top w:val="single" w:sz="4" w:space="0" w:color="E2E8F0"/>
              <w:bottom w:val="single" w:sz="4" w:space="0" w:color="CBD5E1"/>
            </w:tcBorders>
            <w:shd w:val="clear" w:color="auto" w:fill="F8FAFC"/>
            <w:tcMar>
              <w:top w:w="80" w:type="dxa"/>
              <w:left w:w="120" w:type="dxa"/>
              <w:bottom w:w="80" w:type="dxa"/>
              <w:right w:w="120" w:type="dxa"/>
            </w:tcMar>
          </w:tcPr>
          <w:p w14:paraId="7A001EE8" w14:textId="77777777" w:rsidR="00672932" w:rsidRDefault="00000000">
            <w:pPr>
              <w:spacing w:after="0"/>
            </w:pPr>
            <w:r>
              <w:rPr>
                <w:rFonts w:ascii="Calibri" w:hAnsi="Calibri"/>
                <w:color w:val="2D3748"/>
                <w:sz w:val="19"/>
              </w:rPr>
              <w:t>0.842</w:t>
            </w:r>
          </w:p>
        </w:tc>
        <w:tc>
          <w:tcPr>
            <w:tcW w:w="1152" w:type="dxa"/>
            <w:tcBorders>
              <w:top w:val="single" w:sz="4" w:space="0" w:color="E2E8F0"/>
              <w:bottom w:val="single" w:sz="4" w:space="0" w:color="CBD5E1"/>
            </w:tcBorders>
            <w:shd w:val="clear" w:color="auto" w:fill="F8FAFC"/>
            <w:tcMar>
              <w:top w:w="80" w:type="dxa"/>
              <w:left w:w="120" w:type="dxa"/>
              <w:bottom w:w="80" w:type="dxa"/>
              <w:right w:w="120" w:type="dxa"/>
            </w:tcMar>
          </w:tcPr>
          <w:p w14:paraId="71AE9D12" w14:textId="77777777" w:rsidR="00672932" w:rsidRDefault="00000000">
            <w:pPr>
              <w:spacing w:after="0"/>
            </w:pPr>
            <w:r>
              <w:rPr>
                <w:rFonts w:ascii="Calibri" w:hAnsi="Calibri"/>
                <w:color w:val="2D3748"/>
                <w:sz w:val="19"/>
              </w:rPr>
              <w:t>0.896</w:t>
            </w:r>
          </w:p>
        </w:tc>
        <w:tc>
          <w:tcPr>
            <w:tcW w:w="1296" w:type="dxa"/>
            <w:tcBorders>
              <w:top w:val="single" w:sz="4" w:space="0" w:color="E2E8F0"/>
              <w:bottom w:val="single" w:sz="4" w:space="0" w:color="CBD5E1"/>
            </w:tcBorders>
            <w:shd w:val="clear" w:color="auto" w:fill="F8FAFC"/>
            <w:tcMar>
              <w:top w:w="80" w:type="dxa"/>
              <w:left w:w="120" w:type="dxa"/>
              <w:bottom w:w="80" w:type="dxa"/>
              <w:right w:w="120" w:type="dxa"/>
            </w:tcMar>
          </w:tcPr>
          <w:p w14:paraId="52CC9FDE" w14:textId="77777777" w:rsidR="00672932" w:rsidRDefault="00000000">
            <w:pPr>
              <w:spacing w:after="0"/>
            </w:pPr>
            <w:r>
              <w:rPr>
                <w:rFonts w:ascii="Calibri" w:hAnsi="Calibri"/>
                <w:color w:val="2D3748"/>
                <w:sz w:val="19"/>
              </w:rPr>
              <w:t>3.67x</w:t>
            </w:r>
          </w:p>
        </w:tc>
        <w:tc>
          <w:tcPr>
            <w:tcW w:w="1584" w:type="dxa"/>
            <w:tcBorders>
              <w:top w:val="single" w:sz="4" w:space="0" w:color="E2E8F0"/>
              <w:bottom w:val="single" w:sz="4" w:space="0" w:color="CBD5E1"/>
            </w:tcBorders>
            <w:shd w:val="clear" w:color="auto" w:fill="F8FAFC"/>
            <w:tcMar>
              <w:top w:w="80" w:type="dxa"/>
              <w:left w:w="120" w:type="dxa"/>
              <w:bottom w:w="80" w:type="dxa"/>
              <w:right w:w="120" w:type="dxa"/>
            </w:tcMar>
          </w:tcPr>
          <w:p w14:paraId="0F1DE9E2" w14:textId="77777777" w:rsidR="00672932" w:rsidRDefault="00000000">
            <w:pPr>
              <w:spacing w:after="0"/>
            </w:pPr>
            <w:r>
              <w:rPr>
                <w:rFonts w:ascii="Calibri" w:hAnsi="Calibri"/>
                <w:color w:val="2D3748"/>
                <w:sz w:val="19"/>
              </w:rPr>
              <w:t>4.1 ms</w:t>
            </w:r>
          </w:p>
        </w:tc>
        <w:tc>
          <w:tcPr>
            <w:tcW w:w="1440" w:type="dxa"/>
            <w:tcBorders>
              <w:top w:val="single" w:sz="4" w:space="0" w:color="E2E8F0"/>
              <w:bottom w:val="single" w:sz="4" w:space="0" w:color="CBD5E1"/>
            </w:tcBorders>
            <w:shd w:val="clear" w:color="auto" w:fill="F8FAFC"/>
            <w:tcMar>
              <w:top w:w="80" w:type="dxa"/>
              <w:left w:w="120" w:type="dxa"/>
              <w:bottom w:w="80" w:type="dxa"/>
              <w:right w:w="120" w:type="dxa"/>
            </w:tcMar>
          </w:tcPr>
          <w:p w14:paraId="09A23B9A" w14:textId="77777777" w:rsidR="00672932" w:rsidRDefault="00000000">
            <w:pPr>
              <w:spacing w:after="0"/>
            </w:pPr>
            <w:r>
              <w:rPr>
                <w:rFonts w:ascii="Calibri" w:hAnsi="Calibri"/>
                <w:color w:val="2D3748"/>
                <w:sz w:val="19"/>
              </w:rPr>
              <w:t>High (TreeSHAP / Exact)</w:t>
            </w:r>
          </w:p>
        </w:tc>
      </w:tr>
      <w:tr w:rsidR="00672932" w14:paraId="0F2685DA"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215661C1" w14:textId="77777777" w:rsidR="00672932" w:rsidRDefault="00000000">
            <w:pPr>
              <w:spacing w:after="0"/>
            </w:pPr>
            <w:r>
              <w:rPr>
                <w:rFonts w:ascii="Calibri" w:hAnsi="Calibri"/>
                <w:color w:val="2D3748"/>
                <w:sz w:val="19"/>
              </w:rPr>
              <w:t>Blended Stacking Ensemble (XGB+LGBM)</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09F0EA14" w14:textId="77777777" w:rsidR="00672932" w:rsidRDefault="00000000">
            <w:pPr>
              <w:spacing w:after="0"/>
            </w:pPr>
            <w:r>
              <w:rPr>
                <w:rFonts w:ascii="Calibri" w:hAnsi="Calibri"/>
                <w:color w:val="2D3748"/>
                <w:sz w:val="19"/>
              </w:rPr>
              <w:t>0.849</w:t>
            </w:r>
          </w:p>
        </w:tc>
        <w:tc>
          <w:tcPr>
            <w:tcW w:w="1152" w:type="dxa"/>
            <w:tcBorders>
              <w:top w:val="single" w:sz="4" w:space="0" w:color="E2E8F0"/>
              <w:bottom w:val="single" w:sz="4" w:space="0" w:color="CBD5E1"/>
            </w:tcBorders>
            <w:shd w:val="clear" w:color="auto" w:fill="FFFFFF"/>
            <w:tcMar>
              <w:top w:w="80" w:type="dxa"/>
              <w:left w:w="120" w:type="dxa"/>
              <w:bottom w:w="80" w:type="dxa"/>
              <w:right w:w="120" w:type="dxa"/>
            </w:tcMar>
          </w:tcPr>
          <w:p w14:paraId="7A50C73F" w14:textId="77777777" w:rsidR="00672932" w:rsidRDefault="00000000">
            <w:pPr>
              <w:spacing w:after="0"/>
            </w:pPr>
            <w:r>
              <w:rPr>
                <w:rFonts w:ascii="Calibri" w:hAnsi="Calibri"/>
                <w:color w:val="2D3748"/>
                <w:sz w:val="19"/>
              </w:rPr>
              <w:t>0.902</w:t>
            </w:r>
          </w:p>
        </w:tc>
        <w:tc>
          <w:tcPr>
            <w:tcW w:w="1296" w:type="dxa"/>
            <w:tcBorders>
              <w:top w:val="single" w:sz="4" w:space="0" w:color="E2E8F0"/>
              <w:bottom w:val="single" w:sz="4" w:space="0" w:color="CBD5E1"/>
            </w:tcBorders>
            <w:shd w:val="clear" w:color="auto" w:fill="FFFFFF"/>
            <w:tcMar>
              <w:top w:w="80" w:type="dxa"/>
              <w:left w:w="120" w:type="dxa"/>
              <w:bottom w:w="80" w:type="dxa"/>
              <w:right w:w="120" w:type="dxa"/>
            </w:tcMar>
          </w:tcPr>
          <w:p w14:paraId="07F8AEC1" w14:textId="77777777" w:rsidR="00672932" w:rsidRDefault="00000000">
            <w:pPr>
              <w:spacing w:after="0"/>
            </w:pPr>
            <w:r>
              <w:rPr>
                <w:rFonts w:ascii="Calibri" w:hAnsi="Calibri"/>
                <w:color w:val="2D3748"/>
                <w:sz w:val="19"/>
              </w:rPr>
              <w:t>3.71x</w:t>
            </w:r>
          </w:p>
        </w:tc>
        <w:tc>
          <w:tcPr>
            <w:tcW w:w="1584" w:type="dxa"/>
            <w:tcBorders>
              <w:top w:val="single" w:sz="4" w:space="0" w:color="E2E8F0"/>
              <w:bottom w:val="single" w:sz="4" w:space="0" w:color="CBD5E1"/>
            </w:tcBorders>
            <w:shd w:val="clear" w:color="auto" w:fill="FFFFFF"/>
            <w:tcMar>
              <w:top w:w="80" w:type="dxa"/>
              <w:left w:w="120" w:type="dxa"/>
              <w:bottom w:w="80" w:type="dxa"/>
              <w:right w:w="120" w:type="dxa"/>
            </w:tcMar>
          </w:tcPr>
          <w:p w14:paraId="6A54E71F" w14:textId="77777777" w:rsidR="00672932" w:rsidRDefault="00000000">
            <w:pPr>
              <w:spacing w:after="0"/>
            </w:pPr>
            <w:r>
              <w:rPr>
                <w:rFonts w:ascii="Calibri" w:hAnsi="Calibri"/>
                <w:color w:val="2D3748"/>
                <w:sz w:val="19"/>
              </w:rPr>
              <w:t>7.8 ms</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56337544" w14:textId="77777777" w:rsidR="00672932" w:rsidRDefault="00000000">
            <w:pPr>
              <w:spacing w:after="0"/>
            </w:pPr>
            <w:r>
              <w:rPr>
                <w:rFonts w:ascii="Calibri" w:hAnsi="Calibri"/>
                <w:color w:val="2D3748"/>
                <w:sz w:val="19"/>
              </w:rPr>
              <w:t>High (Averaged SHAP)</w:t>
            </w:r>
          </w:p>
        </w:tc>
      </w:tr>
    </w:tbl>
    <w:p w14:paraId="53E9AEFF" w14:textId="77777777" w:rsidR="00672932" w:rsidRDefault="00672932">
      <w:pPr>
        <w:spacing w:after="120"/>
      </w:pPr>
    </w:p>
    <w:p w14:paraId="46EB4C52" w14:textId="77777777" w:rsidR="00672932" w:rsidRDefault="00000000">
      <w:pPr>
        <w:spacing w:after="120"/>
      </w:pPr>
      <w:r>
        <w:rPr>
          <w:rFonts w:ascii="Calibri" w:hAnsi="Calibri"/>
          <w:b/>
          <w:color w:val="1A202C"/>
          <w:sz w:val="21"/>
        </w:rPr>
        <w:t xml:space="preserve">Final Model Selection: </w:t>
      </w:r>
      <w:r>
        <w:rPr>
          <w:rFonts w:ascii="Calibri" w:hAnsi="Calibri"/>
          <w:color w:val="2D3748"/>
          <w:sz w:val="21"/>
        </w:rPr>
        <w:t>The XGBoost model, fine-tuned via Bayesian hyperparameter optimization (Optuna over 200 trials), was selected as the core production engine due to its superior balance of Precision-Recall AUC (0.842), rock-solid stability, sub-5ms inference latency, and full native support for SHAP (SHapley Additive exPlanations) attribution.</w:t>
      </w:r>
    </w:p>
    <w:p w14:paraId="4BDBBDE8" w14:textId="77777777" w:rsidR="00672932" w:rsidRDefault="00000000">
      <w:pPr>
        <w:pStyle w:val="Heading1"/>
        <w:spacing w:before="320" w:after="120"/>
      </w:pPr>
      <w:r>
        <w:rPr>
          <w:rFonts w:ascii="Calibri" w:hAnsi="Calibri"/>
          <w:color w:val="1B365D"/>
          <w:sz w:val="36"/>
        </w:rPr>
        <w:t>3. Findings, Statistical Insights &amp; Visualizations</w:t>
      </w:r>
    </w:p>
    <w:p w14:paraId="48113822" w14:textId="77777777" w:rsidR="00672932" w:rsidRDefault="00000000">
      <w:pPr>
        <w:spacing w:after="120"/>
      </w:pPr>
      <w:r>
        <w:rPr>
          <w:rFonts w:ascii="Calibri" w:hAnsi="Calibri"/>
          <w:color w:val="2D3748"/>
          <w:sz w:val="21"/>
        </w:rPr>
        <w:t>The analysis uncovered four fundamental behavioral and operational dynamics governing customer attrition. Each finding is supported by quantitative statistical modeling and executive-grade visual mockups.</w:t>
      </w:r>
    </w:p>
    <w:p w14:paraId="57A35BCC" w14:textId="77777777" w:rsidR="00672932" w:rsidRDefault="00000000">
      <w:pPr>
        <w:pStyle w:val="Heading2"/>
        <w:spacing w:before="240" w:after="80"/>
      </w:pPr>
      <w:r>
        <w:rPr>
          <w:rFonts w:ascii="Calibri" w:hAnsi="Calibri"/>
          <w:color w:val="006699"/>
          <w:sz w:val="28"/>
        </w:rPr>
        <w:t>3.1 Finding 1: The 'Onboarding Cliff' &amp; Feature Adoption Tipping Point</w:t>
      </w:r>
    </w:p>
    <w:p w14:paraId="31058D15" w14:textId="77777777" w:rsidR="00672932" w:rsidRDefault="00000000">
      <w:pPr>
        <w:spacing w:after="120"/>
      </w:pPr>
      <w:r>
        <w:rPr>
          <w:rFonts w:ascii="Calibri" w:hAnsi="Calibri"/>
          <w:color w:val="2D3748"/>
          <w:sz w:val="21"/>
        </w:rPr>
        <w:t>Survival analysis using Kaplan-Meier estimators revealed that customer tenure is critically determined during the first 90 days of contract activation. Accounts were segmented into three feature adoption cohorts based on their 90-day product telemetry:</w:t>
      </w:r>
    </w:p>
    <w:p w14:paraId="3D022EA7" w14:textId="77777777" w:rsidR="00672932" w:rsidRDefault="00000000">
      <w:pPr>
        <w:spacing w:after="120"/>
      </w:pPr>
      <w:r>
        <w:rPr>
          <w:rFonts w:ascii="Calibri" w:hAnsi="Calibri"/>
          <w:color w:val="2D3748"/>
          <w:sz w:val="21"/>
        </w:rPr>
        <w:t>• Tier 1 (High Adoption - &gt;=8 core features): Demonstrates a stellar 365-day survival probability of 91.2%.</w:t>
      </w:r>
      <w:r>
        <w:rPr>
          <w:rFonts w:ascii="Calibri" w:hAnsi="Calibri"/>
          <w:color w:val="2D3748"/>
          <w:sz w:val="21"/>
        </w:rPr>
        <w:br/>
        <w:t>• Tier 2 (Moderate Adoption - 4 to 7 core features): Experiences steady degradation with a 365-day survival rate of 74.8%.</w:t>
      </w:r>
      <w:r>
        <w:rPr>
          <w:rFonts w:ascii="Calibri" w:hAnsi="Calibri"/>
          <w:color w:val="2D3748"/>
          <w:sz w:val="21"/>
        </w:rPr>
        <w:br/>
        <w:t>• Tier 3 (Low Adoption - &lt;4 core features): Suffers a steep 'Onboarding Cliff', losing 32% of accounts by Day 90 and plummeting to a 365-day retention rate of only 41.5%.</w:t>
      </w:r>
    </w:p>
    <w:p w14:paraId="17C49636" w14:textId="77777777" w:rsidR="00672932" w:rsidRDefault="00000000">
      <w:pPr>
        <w:spacing w:before="160" w:after="80"/>
        <w:jc w:val="center"/>
      </w:pPr>
      <w:r>
        <w:rPr>
          <w:noProof/>
        </w:rPr>
        <w:drawing>
          <wp:inline distT="0" distB="0" distL="0" distR="0" wp14:anchorId="5F8B86A4" wp14:editId="06B91FB1">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retention_curve.png"/>
                    <pic:cNvPicPr/>
                  </pic:nvPicPr>
                  <pic:blipFill>
                    <a:blip r:embed="rId8"/>
                    <a:stretch>
                      <a:fillRect/>
                    </a:stretch>
                  </pic:blipFill>
                  <pic:spPr>
                    <a:xfrm>
                      <a:off x="0" y="0"/>
                      <a:ext cx="5669280" cy="3401568"/>
                    </a:xfrm>
                    <a:prstGeom prst="rect">
                      <a:avLst/>
                    </a:prstGeom>
                  </pic:spPr>
                </pic:pic>
              </a:graphicData>
            </a:graphic>
          </wp:inline>
        </w:drawing>
      </w:r>
    </w:p>
    <w:p w14:paraId="6BC34B6A" w14:textId="77777777" w:rsidR="00672932" w:rsidRDefault="00000000">
      <w:pPr>
        <w:jc w:val="center"/>
      </w:pPr>
      <w:r>
        <w:rPr>
          <w:rFonts w:ascii="Calibri" w:hAnsi="Calibri"/>
          <w:i/>
          <w:color w:val="4A5568"/>
          <w:sz w:val="18"/>
        </w:rPr>
        <w:t>📊 Figure 1: Kaplan-Meier Survival Probabilities over 365 Days across Feature Adoption Cohorts with 95% Confidence Intervals.</w:t>
      </w:r>
    </w:p>
    <w:p w14:paraId="3E310B62" w14:textId="77777777" w:rsidR="00672932" w:rsidRDefault="00000000">
      <w:pPr>
        <w:spacing w:after="120"/>
      </w:pPr>
      <w:r>
        <w:rPr>
          <w:rFonts w:ascii="Calibri" w:hAnsi="Calibri"/>
          <w:b/>
          <w:color w:val="1A202C"/>
          <w:sz w:val="21"/>
        </w:rPr>
        <w:t xml:space="preserve">Statistical Significance: </w:t>
      </w:r>
      <w:r>
        <w:rPr>
          <w:rFonts w:ascii="Calibri" w:hAnsi="Calibri"/>
          <w:color w:val="2D3748"/>
          <w:sz w:val="21"/>
        </w:rPr>
        <w:t>Statistical Takeaway: A Cox Proportional Hazards regression demonstrated that crossing the 4-feature threshold during the onboarding window reduces the instantaneous hazard of churning by 68.4% (Hazard Ratio = 0.316, p &lt; 0.001). This proves that proactive onboarding intervention is the single highest-leverage retention window in the customer lifecycle.</w:t>
      </w:r>
    </w:p>
    <w:p w14:paraId="7A8E7B66" w14:textId="77777777" w:rsidR="00672932" w:rsidRDefault="00000000">
      <w:pPr>
        <w:pStyle w:val="Heading2"/>
        <w:spacing w:before="240" w:after="80"/>
      </w:pPr>
      <w:r>
        <w:rPr>
          <w:rFonts w:ascii="Calibri" w:hAnsi="Calibri"/>
          <w:color w:val="006699"/>
          <w:sz w:val="28"/>
        </w:rPr>
        <w:t>3.2 Finding 2: Multi-Dimensional Churn Predictors &amp; SHAP Feature Attribution</w:t>
      </w:r>
    </w:p>
    <w:p w14:paraId="4720FF3A" w14:textId="77777777" w:rsidR="00672932" w:rsidRDefault="00000000">
      <w:pPr>
        <w:spacing w:after="120"/>
      </w:pPr>
      <w:r>
        <w:rPr>
          <w:rFonts w:ascii="Calibri" w:hAnsi="Calibri"/>
          <w:color w:val="2D3748"/>
          <w:sz w:val="21"/>
        </w:rPr>
        <w:t>Global SHAP analysis was conducted to decompose the ensemble model's predictions into explainable, additive log-odds contributions across the top 10 most influential predictors.</w:t>
      </w:r>
    </w:p>
    <w:p w14:paraId="57EC219F" w14:textId="77777777" w:rsidR="00672932" w:rsidRDefault="00000000">
      <w:pPr>
        <w:spacing w:before="160" w:after="80"/>
        <w:jc w:val="center"/>
      </w:pPr>
      <w:r>
        <w:rPr>
          <w:noProof/>
        </w:rPr>
        <w:drawing>
          <wp:inline distT="0" distB="0" distL="0" distR="0" wp14:anchorId="0701822D" wp14:editId="5FEBA6A7">
            <wp:extent cx="5669280" cy="3350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eature_importance.png"/>
                    <pic:cNvPicPr/>
                  </pic:nvPicPr>
                  <pic:blipFill>
                    <a:blip r:embed="rId9"/>
                    <a:stretch>
                      <a:fillRect/>
                    </a:stretch>
                  </pic:blipFill>
                  <pic:spPr>
                    <a:xfrm>
                      <a:off x="0" y="0"/>
                      <a:ext cx="5669280" cy="3350029"/>
                    </a:xfrm>
                    <a:prstGeom prst="rect">
                      <a:avLst/>
                    </a:prstGeom>
                  </pic:spPr>
                </pic:pic>
              </a:graphicData>
            </a:graphic>
          </wp:inline>
        </w:drawing>
      </w:r>
    </w:p>
    <w:p w14:paraId="18D2AA87" w14:textId="77777777" w:rsidR="00672932" w:rsidRDefault="00000000">
      <w:pPr>
        <w:jc w:val="center"/>
      </w:pPr>
      <w:r>
        <w:rPr>
          <w:rFonts w:ascii="Calibri" w:hAnsi="Calibri"/>
          <w:i/>
          <w:color w:val="4A5568"/>
          <w:sz w:val="18"/>
        </w:rPr>
        <w:t>📊 Figure 2: Global Mean Absolute SHAP Values and Directional Impact Indicators for Top 10 Churn Drivers.</w:t>
      </w:r>
    </w:p>
    <w:p w14:paraId="64E4C7BF" w14:textId="77777777" w:rsidR="00672932" w:rsidRDefault="00000000">
      <w:pPr>
        <w:spacing w:after="120"/>
      </w:pPr>
      <w:r>
        <w:rPr>
          <w:rFonts w:ascii="Calibri" w:hAnsi="Calibri"/>
          <w:color w:val="2D3748"/>
          <w:sz w:val="21"/>
        </w:rPr>
        <w:t>Detailed Attribution Analysis:</w:t>
      </w:r>
      <w:r>
        <w:rPr>
          <w:rFonts w:ascii="Calibri" w:hAnsi="Calibri"/>
          <w:color w:val="2D3748"/>
          <w:sz w:val="21"/>
        </w:rPr>
        <w:br/>
        <w:t>1. Monthly Active User (MAU) Decay (+0.42 SHAP): A 30% drop in active seats over a 60-day window is the strongest leading indicator of cancellation.</w:t>
      </w:r>
      <w:r>
        <w:rPr>
          <w:rFonts w:ascii="Calibri" w:hAnsi="Calibri"/>
          <w:color w:val="2D3748"/>
          <w:sz w:val="21"/>
        </w:rPr>
        <w:br/>
        <w:t>2. Support Escalations (+0.38 SHAP): Multiple unresolved critical issues create acute dissatisfaction that overrides product utility.</w:t>
      </w:r>
      <w:r>
        <w:rPr>
          <w:rFonts w:ascii="Calibri" w:hAnsi="Calibri"/>
          <w:color w:val="2D3748"/>
          <w:sz w:val="21"/>
        </w:rPr>
        <w:br/>
        <w:t>3. Executive Sponsor Inactivity (+0.33 SHAP): When the original enterprise buyer ceases logging in or attending quarterly reviews, churn hazard triples within 90 days.</w:t>
      </w:r>
      <w:r>
        <w:rPr>
          <w:rFonts w:ascii="Calibri" w:hAnsi="Calibri"/>
          <w:color w:val="2D3748"/>
          <w:sz w:val="21"/>
        </w:rPr>
        <w:br/>
        <w:t>4. Workflow Integration Depth (-0.31 SHAP): Integration with core enterprise pipelines (e.g., Salesforce, Slack, ERP) acts as an 'organizational anchor', reducing churn risk by over 55%.</w:t>
      </w:r>
    </w:p>
    <w:p w14:paraId="37CFC7E6" w14:textId="77777777" w:rsidR="00672932" w:rsidRDefault="00000000">
      <w:pPr>
        <w:pStyle w:val="Heading2"/>
        <w:spacing w:before="240" w:after="80"/>
      </w:pPr>
      <w:r>
        <w:rPr>
          <w:rFonts w:ascii="Calibri" w:hAnsi="Calibri"/>
          <w:color w:val="006699"/>
          <w:sz w:val="28"/>
        </w:rPr>
        <w:t>3.3 Finding 3: The Support Escalation &amp; Churn Probability Matrix</w:t>
      </w:r>
    </w:p>
    <w:p w14:paraId="39349068" w14:textId="77777777" w:rsidR="00672932" w:rsidRDefault="00000000">
      <w:pPr>
        <w:spacing w:after="120"/>
      </w:pPr>
      <w:r>
        <w:rPr>
          <w:rFonts w:ascii="Calibri" w:hAnsi="Calibri"/>
          <w:color w:val="2D3748"/>
          <w:sz w:val="21"/>
        </w:rPr>
        <w:t>Cross-tabulating historical support helpdesk data with account tiers revealed a dramatic non-linear compounding risk when support tickets remain unresolved across escalating severities.</w:t>
      </w:r>
    </w:p>
    <w:p w14:paraId="3094B50F" w14:textId="77777777" w:rsidR="00672932" w:rsidRDefault="00000000">
      <w:pPr>
        <w:spacing w:before="160" w:after="80"/>
        <w:jc w:val="center"/>
      </w:pPr>
      <w:r>
        <w:rPr>
          <w:noProof/>
        </w:rPr>
        <w:drawing>
          <wp:inline distT="0" distB="0" distL="0" distR="0" wp14:anchorId="6E65383F" wp14:editId="3C2BB216">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risk_heatmap.png"/>
                    <pic:cNvPicPr/>
                  </pic:nvPicPr>
                  <pic:blipFill>
                    <a:blip r:embed="rId10"/>
                    <a:stretch>
                      <a:fillRect/>
                    </a:stretch>
                  </pic:blipFill>
                  <pic:spPr>
                    <a:xfrm>
                      <a:off x="0" y="0"/>
                      <a:ext cx="5669280" cy="3401568"/>
                    </a:xfrm>
                    <a:prstGeom prst="rect">
                      <a:avLst/>
                    </a:prstGeom>
                  </pic:spPr>
                </pic:pic>
              </a:graphicData>
            </a:graphic>
          </wp:inline>
        </w:drawing>
      </w:r>
    </w:p>
    <w:p w14:paraId="53F2BAAB" w14:textId="77777777" w:rsidR="00672932" w:rsidRDefault="00000000">
      <w:pPr>
        <w:jc w:val="center"/>
      </w:pPr>
      <w:r>
        <w:rPr>
          <w:rFonts w:ascii="Calibri" w:hAnsi="Calibri"/>
          <w:i/>
          <w:color w:val="4A5568"/>
          <w:sz w:val="18"/>
        </w:rPr>
        <w:t>📊 Figure 3: Churn Risk Heatmap across Account Contract Tiers and Unresolved Support Escalations (Past 60 Days).</w:t>
      </w:r>
    </w:p>
    <w:p w14:paraId="21F01122" w14:textId="77777777" w:rsidR="00672932" w:rsidRDefault="00000000">
      <w:pPr>
        <w:spacing w:after="120"/>
      </w:pPr>
      <w:r>
        <w:rPr>
          <w:rFonts w:ascii="Calibri" w:hAnsi="Calibri"/>
          <w:b/>
          <w:color w:val="1A202C"/>
          <w:sz w:val="21"/>
        </w:rPr>
        <w:t xml:space="preserve">Key Takeaway: </w:t>
      </w:r>
      <w:r>
        <w:rPr>
          <w:rFonts w:ascii="Calibri" w:hAnsi="Calibri"/>
          <w:color w:val="2D3748"/>
          <w:sz w:val="21"/>
        </w:rPr>
        <w:t>Critical Operational Insight: In Enterprise accounts ($100k+ ARR), the baseline churn rate is exceptionally low at 4.2% when 0 escalations occur. However, when an enterprise account accumulates 5+ unresolved escalations, the churn probability skyrockets to 62.4%—a 14.8x risk surge. In Mid-Market and SMB accounts, 3+ unresolved issues create a near-certain (&gt;50%) churn outcome.</w:t>
      </w:r>
    </w:p>
    <w:p w14:paraId="11CE051E" w14:textId="77777777" w:rsidR="00672932" w:rsidRDefault="00000000">
      <w:pPr>
        <w:pStyle w:val="Heading2"/>
        <w:spacing w:before="240" w:after="80"/>
      </w:pPr>
      <w:r>
        <w:rPr>
          <w:rFonts w:ascii="Calibri" w:hAnsi="Calibri"/>
          <w:color w:val="006699"/>
          <w:sz w:val="28"/>
        </w:rPr>
        <w:t>3.4 Finding 4: Cumulative Lift, Targeting Efficiency &amp; Economic Optimization Frontier</w:t>
      </w:r>
    </w:p>
    <w:p w14:paraId="27A7197B" w14:textId="77777777" w:rsidR="00672932" w:rsidRDefault="00000000">
      <w:pPr>
        <w:spacing w:after="120"/>
      </w:pPr>
      <w:r>
        <w:rPr>
          <w:rFonts w:ascii="Calibri" w:hAnsi="Calibri"/>
          <w:color w:val="2D3748"/>
          <w:sz w:val="21"/>
        </w:rPr>
        <w:t>To bridge technical model accuracy with executive fiscal decision-making, the model's performance was evaluated along a cumulative gains curve and an economic optimization frontier.</w:t>
      </w:r>
    </w:p>
    <w:p w14:paraId="50894565" w14:textId="77777777" w:rsidR="00672932" w:rsidRDefault="00000000">
      <w:pPr>
        <w:spacing w:before="160" w:after="80"/>
        <w:jc w:val="center"/>
      </w:pPr>
      <w:r>
        <w:rPr>
          <w:noProof/>
        </w:rPr>
        <w:drawing>
          <wp:inline distT="0" distB="0" distL="0" distR="0" wp14:anchorId="735BD0BA" wp14:editId="24636E80">
            <wp:extent cx="5669280" cy="2487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lift_frontier.png"/>
                    <pic:cNvPicPr/>
                  </pic:nvPicPr>
                  <pic:blipFill>
                    <a:blip r:embed="rId11"/>
                    <a:stretch>
                      <a:fillRect/>
                    </a:stretch>
                  </pic:blipFill>
                  <pic:spPr>
                    <a:xfrm>
                      <a:off x="0" y="0"/>
                      <a:ext cx="5669280" cy="2487452"/>
                    </a:xfrm>
                    <a:prstGeom prst="rect">
                      <a:avLst/>
                    </a:prstGeom>
                  </pic:spPr>
                </pic:pic>
              </a:graphicData>
            </a:graphic>
          </wp:inline>
        </w:drawing>
      </w:r>
    </w:p>
    <w:p w14:paraId="3D3818FF" w14:textId="77777777" w:rsidR="00672932" w:rsidRDefault="00000000">
      <w:pPr>
        <w:jc w:val="center"/>
      </w:pPr>
      <w:r>
        <w:rPr>
          <w:rFonts w:ascii="Calibri" w:hAnsi="Calibri"/>
          <w:i/>
          <w:color w:val="4A5568"/>
          <w:sz w:val="18"/>
        </w:rPr>
        <w:t>📊 Figure 4: (A) Cumulative Gains / Lift Curve vs Baseline; (B) Net Economic Revenue Optimization Frontier.</w:t>
      </w:r>
    </w:p>
    <w:p w14:paraId="2C23B84B" w14:textId="77777777" w:rsidR="00672932" w:rsidRDefault="00000000">
      <w:pPr>
        <w:spacing w:after="120"/>
      </w:pPr>
      <w:r>
        <w:rPr>
          <w:rFonts w:ascii="Calibri" w:hAnsi="Calibri"/>
          <w:b/>
          <w:color w:val="1A202C"/>
          <w:sz w:val="21"/>
        </w:rPr>
        <w:t xml:space="preserve">Strategic Financial Takeaway: </w:t>
      </w:r>
      <w:r>
        <w:rPr>
          <w:rFonts w:ascii="Calibri" w:hAnsi="Calibri"/>
          <w:color w:val="2D3748"/>
          <w:sz w:val="21"/>
        </w:rPr>
        <w:t>Fiscal Frontier Interpretation: Contacting 100% of accounts is operationally impossible and economically wasteful due to Customer Success headcount constraints ($45k per 1% outreach bandwidth). The economic optimization curve reveals that targeting exactly the top 22% highest-risk accounts maximizes net enterprise value, recovering $5.13M in gross ARR at an operational cost of $910K, yielding a peak net economic return of $4.22M (ROI = 4.6x).</w:t>
      </w:r>
    </w:p>
    <w:p w14:paraId="7161DDED" w14:textId="77777777" w:rsidR="00672932" w:rsidRDefault="00000000">
      <w:pPr>
        <w:pStyle w:val="Heading1"/>
        <w:spacing w:before="320" w:after="120"/>
      </w:pPr>
      <w:r>
        <w:rPr>
          <w:rFonts w:ascii="Calibri" w:hAnsi="Calibri"/>
          <w:color w:val="1B365D"/>
          <w:sz w:val="36"/>
        </w:rPr>
        <w:t>4. Actionable Insights &amp; Strategic Business Impact</w:t>
      </w:r>
    </w:p>
    <w:p w14:paraId="528BAE47" w14:textId="77777777" w:rsidR="00672932" w:rsidRDefault="00000000">
      <w:pPr>
        <w:spacing w:after="120"/>
      </w:pPr>
      <w:r>
        <w:rPr>
          <w:rFonts w:ascii="Calibri" w:hAnsi="Calibri"/>
          <w:color w:val="2D3748"/>
          <w:sz w:val="21"/>
        </w:rPr>
        <w:t>Translating data science findings into commercial value requires operationalizing predictive outputs into concrete, role-specific workflows across Customer Success, Product Management, and Executive Leadership.</w:t>
      </w:r>
    </w:p>
    <w:p w14:paraId="53A9CA42" w14:textId="77777777" w:rsidR="00672932" w:rsidRDefault="00000000">
      <w:pPr>
        <w:pStyle w:val="Heading2"/>
        <w:spacing w:before="240" w:after="80"/>
      </w:pPr>
      <w:r>
        <w:rPr>
          <w:rFonts w:ascii="Calibri" w:hAnsi="Calibri"/>
          <w:color w:val="006699"/>
          <w:sz w:val="28"/>
        </w:rPr>
        <w:t>4.1 Tiered Proactive Retention Playbook</w:t>
      </w:r>
    </w:p>
    <w:p w14:paraId="33C13878" w14:textId="77777777" w:rsidR="00672932" w:rsidRDefault="00000000">
      <w:pPr>
        <w:spacing w:after="120"/>
      </w:pPr>
      <w:r>
        <w:rPr>
          <w:rFonts w:ascii="Calibri" w:hAnsi="Calibri"/>
          <w:color w:val="2D3748"/>
          <w:sz w:val="21"/>
        </w:rPr>
        <w:t>Based on account value and model-assigned risk tier, automated triage playbooks are activated:</w:t>
      </w:r>
    </w:p>
    <w:tbl>
      <w:tblPr>
        <w:tblW w:w="0" w:type="auto"/>
        <w:jc w:val="center"/>
        <w:tblLayout w:type="fixed"/>
        <w:tblLook w:val="04A0" w:firstRow="1" w:lastRow="0" w:firstColumn="1" w:lastColumn="0" w:noHBand="0" w:noVBand="1"/>
      </w:tblPr>
      <w:tblGrid>
        <w:gridCol w:w="1728"/>
        <w:gridCol w:w="1728"/>
        <w:gridCol w:w="2016"/>
        <w:gridCol w:w="2880"/>
        <w:gridCol w:w="1728"/>
      </w:tblGrid>
      <w:tr w:rsidR="00672932" w14:paraId="64C8E678" w14:textId="77777777">
        <w:trPr>
          <w:jc w:val="center"/>
        </w:trPr>
        <w:tc>
          <w:tcPr>
            <w:tcW w:w="1728" w:type="dxa"/>
            <w:tcBorders>
              <w:top w:val="single" w:sz="4" w:space="0" w:color="E2E8F0"/>
              <w:bottom w:val="single" w:sz="4" w:space="0" w:color="CBD5E1"/>
            </w:tcBorders>
            <w:shd w:val="clear" w:color="auto" w:fill="1B365D"/>
            <w:tcMar>
              <w:top w:w="100" w:type="dxa"/>
              <w:left w:w="120" w:type="dxa"/>
              <w:bottom w:w="100" w:type="dxa"/>
              <w:right w:w="120" w:type="dxa"/>
            </w:tcMar>
          </w:tcPr>
          <w:p w14:paraId="16A01C0D" w14:textId="77777777" w:rsidR="00672932" w:rsidRDefault="00000000">
            <w:pPr>
              <w:spacing w:after="0"/>
            </w:pPr>
            <w:r>
              <w:rPr>
                <w:rFonts w:ascii="Calibri" w:hAnsi="Calibri"/>
                <w:b/>
                <w:color w:val="FFFFFF"/>
                <w:sz w:val="20"/>
              </w:rPr>
              <w:t>Risk Decile / Tier</w:t>
            </w:r>
          </w:p>
        </w:tc>
        <w:tc>
          <w:tcPr>
            <w:tcW w:w="1728" w:type="dxa"/>
            <w:tcBorders>
              <w:top w:val="single" w:sz="4" w:space="0" w:color="E2E8F0"/>
              <w:bottom w:val="single" w:sz="4" w:space="0" w:color="CBD5E1"/>
            </w:tcBorders>
            <w:shd w:val="clear" w:color="auto" w:fill="1B365D"/>
            <w:tcMar>
              <w:top w:w="100" w:type="dxa"/>
              <w:left w:w="120" w:type="dxa"/>
              <w:bottom w:w="100" w:type="dxa"/>
              <w:right w:w="120" w:type="dxa"/>
            </w:tcMar>
          </w:tcPr>
          <w:p w14:paraId="1760EB01" w14:textId="77777777" w:rsidR="00672932" w:rsidRDefault="00000000">
            <w:pPr>
              <w:spacing w:after="0"/>
            </w:pPr>
            <w:r>
              <w:rPr>
                <w:rFonts w:ascii="Calibri" w:hAnsi="Calibri"/>
                <w:b/>
                <w:color w:val="FFFFFF"/>
                <w:sz w:val="20"/>
              </w:rPr>
              <w:t>Account Value Segment</w:t>
            </w:r>
          </w:p>
        </w:tc>
        <w:tc>
          <w:tcPr>
            <w:tcW w:w="2016" w:type="dxa"/>
            <w:tcBorders>
              <w:top w:val="single" w:sz="4" w:space="0" w:color="E2E8F0"/>
              <w:bottom w:val="single" w:sz="4" w:space="0" w:color="CBD5E1"/>
            </w:tcBorders>
            <w:shd w:val="clear" w:color="auto" w:fill="1B365D"/>
            <w:tcMar>
              <w:top w:w="100" w:type="dxa"/>
              <w:left w:w="120" w:type="dxa"/>
              <w:bottom w:w="100" w:type="dxa"/>
              <w:right w:w="120" w:type="dxa"/>
            </w:tcMar>
          </w:tcPr>
          <w:p w14:paraId="7C243564" w14:textId="77777777" w:rsidR="00672932" w:rsidRDefault="00000000">
            <w:pPr>
              <w:spacing w:after="0"/>
            </w:pPr>
            <w:r>
              <w:rPr>
                <w:rFonts w:ascii="Calibri" w:hAnsi="Calibri"/>
                <w:b/>
                <w:color w:val="FFFFFF"/>
                <w:sz w:val="20"/>
              </w:rPr>
              <w:t>Automated Trigger Criteria</w:t>
            </w:r>
          </w:p>
        </w:tc>
        <w:tc>
          <w:tcPr>
            <w:tcW w:w="2880" w:type="dxa"/>
            <w:tcBorders>
              <w:top w:val="single" w:sz="4" w:space="0" w:color="E2E8F0"/>
              <w:bottom w:val="single" w:sz="4" w:space="0" w:color="CBD5E1"/>
            </w:tcBorders>
            <w:shd w:val="clear" w:color="auto" w:fill="1B365D"/>
            <w:tcMar>
              <w:top w:w="100" w:type="dxa"/>
              <w:left w:w="120" w:type="dxa"/>
              <w:bottom w:w="100" w:type="dxa"/>
              <w:right w:w="120" w:type="dxa"/>
            </w:tcMar>
          </w:tcPr>
          <w:p w14:paraId="142127BB" w14:textId="77777777" w:rsidR="00672932" w:rsidRDefault="00000000">
            <w:pPr>
              <w:spacing w:after="0"/>
            </w:pPr>
            <w:r>
              <w:rPr>
                <w:rFonts w:ascii="Calibri" w:hAnsi="Calibri"/>
                <w:b/>
                <w:color w:val="FFFFFF"/>
                <w:sz w:val="20"/>
              </w:rPr>
              <w:t>Prescribed Intervention Playbook</w:t>
            </w:r>
          </w:p>
        </w:tc>
        <w:tc>
          <w:tcPr>
            <w:tcW w:w="1728" w:type="dxa"/>
            <w:tcBorders>
              <w:top w:val="single" w:sz="4" w:space="0" w:color="E2E8F0"/>
              <w:bottom w:val="single" w:sz="4" w:space="0" w:color="CBD5E1"/>
            </w:tcBorders>
            <w:shd w:val="clear" w:color="auto" w:fill="1B365D"/>
            <w:tcMar>
              <w:top w:w="100" w:type="dxa"/>
              <w:left w:w="120" w:type="dxa"/>
              <w:bottom w:w="100" w:type="dxa"/>
              <w:right w:w="120" w:type="dxa"/>
            </w:tcMar>
          </w:tcPr>
          <w:p w14:paraId="56FDE1B6" w14:textId="77777777" w:rsidR="00672932" w:rsidRDefault="00000000">
            <w:pPr>
              <w:spacing w:after="0"/>
            </w:pPr>
            <w:r>
              <w:rPr>
                <w:rFonts w:ascii="Calibri" w:hAnsi="Calibri"/>
                <w:b/>
                <w:color w:val="FFFFFF"/>
                <w:sz w:val="20"/>
              </w:rPr>
              <w:t>Responsible Owner</w:t>
            </w:r>
          </w:p>
        </w:tc>
      </w:tr>
      <w:tr w:rsidR="00672932" w14:paraId="4D91BF87" w14:textId="77777777">
        <w:trPr>
          <w:jc w:val="center"/>
        </w:trPr>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0A3E8441" w14:textId="77777777" w:rsidR="00672932" w:rsidRDefault="00000000">
            <w:pPr>
              <w:spacing w:after="0"/>
            </w:pPr>
            <w:r>
              <w:rPr>
                <w:rFonts w:ascii="Calibri" w:hAnsi="Calibri"/>
                <w:color w:val="2D3748"/>
                <w:sz w:val="19"/>
              </w:rPr>
              <w:t>Critical (Top 5%)</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1B64725B" w14:textId="77777777" w:rsidR="00672932" w:rsidRDefault="00000000">
            <w:pPr>
              <w:spacing w:after="0"/>
            </w:pPr>
            <w:r>
              <w:rPr>
                <w:rFonts w:ascii="Calibri" w:hAnsi="Calibri"/>
                <w:color w:val="2D3748"/>
                <w:sz w:val="19"/>
              </w:rPr>
              <w:t>Enterprise ($100k+)</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7783BE22" w14:textId="77777777" w:rsidR="00672932" w:rsidRDefault="00000000">
            <w:pPr>
              <w:spacing w:after="0"/>
            </w:pPr>
            <w:r>
              <w:rPr>
                <w:rFonts w:ascii="Calibri" w:hAnsi="Calibri"/>
                <w:color w:val="2D3748"/>
                <w:sz w:val="19"/>
              </w:rPr>
              <w:t>Model Score &gt; 0.82 OR Sev-1 Ticket &gt; 5 Days</w:t>
            </w:r>
          </w:p>
        </w:tc>
        <w:tc>
          <w:tcPr>
            <w:tcW w:w="2880" w:type="dxa"/>
            <w:tcBorders>
              <w:top w:val="single" w:sz="4" w:space="0" w:color="E2E8F0"/>
              <w:bottom w:val="single" w:sz="4" w:space="0" w:color="CBD5E1"/>
            </w:tcBorders>
            <w:shd w:val="clear" w:color="auto" w:fill="FFFFFF"/>
            <w:tcMar>
              <w:top w:w="80" w:type="dxa"/>
              <w:left w:w="120" w:type="dxa"/>
              <w:bottom w:w="80" w:type="dxa"/>
              <w:right w:w="120" w:type="dxa"/>
            </w:tcMar>
          </w:tcPr>
          <w:p w14:paraId="14221D95" w14:textId="77777777" w:rsidR="00672932" w:rsidRDefault="00000000">
            <w:pPr>
              <w:spacing w:after="0"/>
            </w:pPr>
            <w:r>
              <w:rPr>
                <w:rFonts w:ascii="Calibri" w:hAnsi="Calibri"/>
                <w:color w:val="2D3748"/>
                <w:sz w:val="19"/>
              </w:rPr>
              <w:t>Executive Sponsor Outreach + VP CS Alignment + Dedicated Solutions Architect remediation sprint within 48h.</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7BD5A116" w14:textId="77777777" w:rsidR="00672932" w:rsidRDefault="00000000">
            <w:pPr>
              <w:spacing w:after="0"/>
            </w:pPr>
            <w:r>
              <w:rPr>
                <w:rFonts w:ascii="Calibri" w:hAnsi="Calibri"/>
                <w:color w:val="2D3748"/>
                <w:sz w:val="19"/>
              </w:rPr>
              <w:t>VP Customer Success / Dedicated Enterprise CSM</w:t>
            </w:r>
          </w:p>
        </w:tc>
      </w:tr>
      <w:tr w:rsidR="00672932" w14:paraId="2372A06D" w14:textId="77777777">
        <w:trPr>
          <w:jc w:val="center"/>
        </w:trPr>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6B6D85AB" w14:textId="77777777" w:rsidR="00672932" w:rsidRDefault="00000000">
            <w:pPr>
              <w:spacing w:after="0"/>
            </w:pPr>
            <w:r>
              <w:rPr>
                <w:rFonts w:ascii="Calibri" w:hAnsi="Calibri"/>
                <w:color w:val="2D3748"/>
                <w:sz w:val="19"/>
              </w:rPr>
              <w:t>High (Top 6-15%)</w:t>
            </w:r>
          </w:p>
        </w:tc>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63ADD2FA" w14:textId="77777777" w:rsidR="00672932" w:rsidRDefault="00000000">
            <w:pPr>
              <w:spacing w:after="0"/>
            </w:pPr>
            <w:r>
              <w:rPr>
                <w:rFonts w:ascii="Calibri" w:hAnsi="Calibri"/>
                <w:color w:val="2D3748"/>
                <w:sz w:val="19"/>
              </w:rPr>
              <w:t>Enterprise &amp; Mid-Market</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1E83A35A" w14:textId="77777777" w:rsidR="00672932" w:rsidRDefault="00000000">
            <w:pPr>
              <w:spacing w:after="0"/>
            </w:pPr>
            <w:r>
              <w:rPr>
                <w:rFonts w:ascii="Calibri" w:hAnsi="Calibri"/>
                <w:color w:val="2D3748"/>
                <w:sz w:val="19"/>
              </w:rPr>
              <w:t>Model Score 0.65 - 0.81 OR MAU Decay &gt; 25%</w:t>
            </w:r>
          </w:p>
        </w:tc>
        <w:tc>
          <w:tcPr>
            <w:tcW w:w="2880" w:type="dxa"/>
            <w:tcBorders>
              <w:top w:val="single" w:sz="4" w:space="0" w:color="E2E8F0"/>
              <w:bottom w:val="single" w:sz="4" w:space="0" w:color="CBD5E1"/>
            </w:tcBorders>
            <w:shd w:val="clear" w:color="auto" w:fill="F8FAFC"/>
            <w:tcMar>
              <w:top w:w="80" w:type="dxa"/>
              <w:left w:w="120" w:type="dxa"/>
              <w:bottom w:w="80" w:type="dxa"/>
              <w:right w:w="120" w:type="dxa"/>
            </w:tcMar>
          </w:tcPr>
          <w:p w14:paraId="3B1E8811" w14:textId="77777777" w:rsidR="00672932" w:rsidRDefault="00000000">
            <w:pPr>
              <w:spacing w:after="0"/>
            </w:pPr>
            <w:r>
              <w:rPr>
                <w:rFonts w:ascii="Calibri" w:hAnsi="Calibri"/>
                <w:color w:val="2D3748"/>
                <w:sz w:val="19"/>
              </w:rPr>
              <w:t>Strategic Account Review (QBR) reschedule + Custom Feature Adoption Workshop + Workflow Integration review.</w:t>
            </w:r>
          </w:p>
        </w:tc>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1D56BBE2" w14:textId="77777777" w:rsidR="00672932" w:rsidRDefault="00000000">
            <w:pPr>
              <w:spacing w:after="0"/>
            </w:pPr>
            <w:r>
              <w:rPr>
                <w:rFonts w:ascii="Calibri" w:hAnsi="Calibri"/>
                <w:color w:val="2D3748"/>
                <w:sz w:val="19"/>
              </w:rPr>
              <w:t>Senior CSM &amp; Product Specialist</w:t>
            </w:r>
          </w:p>
        </w:tc>
      </w:tr>
      <w:tr w:rsidR="00672932" w14:paraId="436978C0" w14:textId="77777777">
        <w:trPr>
          <w:jc w:val="center"/>
        </w:trPr>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7F812878" w14:textId="77777777" w:rsidR="00672932" w:rsidRDefault="00000000">
            <w:pPr>
              <w:spacing w:after="0"/>
            </w:pPr>
            <w:r>
              <w:rPr>
                <w:rFonts w:ascii="Calibri" w:hAnsi="Calibri"/>
                <w:color w:val="2D3748"/>
                <w:sz w:val="19"/>
              </w:rPr>
              <w:t>Moderate (Top 16-25%)</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18FA909D" w14:textId="77777777" w:rsidR="00672932" w:rsidRDefault="00000000">
            <w:pPr>
              <w:spacing w:after="0"/>
            </w:pPr>
            <w:r>
              <w:rPr>
                <w:rFonts w:ascii="Calibri" w:hAnsi="Calibri"/>
                <w:color w:val="2D3748"/>
                <w:sz w:val="19"/>
              </w:rPr>
              <w:t>Mid-Market &amp; Growth</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5F8A84D1" w14:textId="77777777" w:rsidR="00672932" w:rsidRDefault="00000000">
            <w:pPr>
              <w:spacing w:after="0"/>
            </w:pPr>
            <w:r>
              <w:rPr>
                <w:rFonts w:ascii="Calibri" w:hAnsi="Calibri"/>
                <w:color w:val="2D3748"/>
                <w:sz w:val="19"/>
              </w:rPr>
              <w:t>Model Score 0.50 - 0.64 OR Onboarding &lt; 4 features</w:t>
            </w:r>
          </w:p>
        </w:tc>
        <w:tc>
          <w:tcPr>
            <w:tcW w:w="2880" w:type="dxa"/>
            <w:tcBorders>
              <w:top w:val="single" w:sz="4" w:space="0" w:color="E2E8F0"/>
              <w:bottom w:val="single" w:sz="4" w:space="0" w:color="CBD5E1"/>
            </w:tcBorders>
            <w:shd w:val="clear" w:color="auto" w:fill="FFFFFF"/>
            <w:tcMar>
              <w:top w:w="80" w:type="dxa"/>
              <w:left w:w="120" w:type="dxa"/>
              <w:bottom w:w="80" w:type="dxa"/>
              <w:right w:w="120" w:type="dxa"/>
            </w:tcMar>
          </w:tcPr>
          <w:p w14:paraId="60161F17" w14:textId="77777777" w:rsidR="00672932" w:rsidRDefault="00000000">
            <w:pPr>
              <w:spacing w:after="0"/>
            </w:pPr>
            <w:r>
              <w:rPr>
                <w:rFonts w:ascii="Calibri" w:hAnsi="Calibri"/>
                <w:color w:val="2D3748"/>
                <w:sz w:val="19"/>
              </w:rPr>
              <w:t>Automated in-app personalized guided walkthroughs + In-app concierge chat + CS check-in call.</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4BB3950A" w14:textId="77777777" w:rsidR="00672932" w:rsidRDefault="00000000">
            <w:pPr>
              <w:spacing w:after="0"/>
            </w:pPr>
            <w:r>
              <w:rPr>
                <w:rFonts w:ascii="Calibri" w:hAnsi="Calibri"/>
                <w:color w:val="2D3748"/>
                <w:sz w:val="19"/>
              </w:rPr>
              <w:t>Scaled CSM / Automated Lifecycle Engine</w:t>
            </w:r>
          </w:p>
        </w:tc>
      </w:tr>
      <w:tr w:rsidR="00672932" w14:paraId="60E87466" w14:textId="77777777">
        <w:trPr>
          <w:jc w:val="center"/>
        </w:trPr>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404A289B" w14:textId="77777777" w:rsidR="00672932" w:rsidRDefault="00000000">
            <w:pPr>
              <w:spacing w:after="0"/>
            </w:pPr>
            <w:r>
              <w:rPr>
                <w:rFonts w:ascii="Calibri" w:hAnsi="Calibri"/>
                <w:color w:val="2D3748"/>
                <w:sz w:val="19"/>
              </w:rPr>
              <w:t>Low / Healthy (Bottom 75%)</w:t>
            </w:r>
          </w:p>
        </w:tc>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78048764" w14:textId="77777777" w:rsidR="00672932" w:rsidRDefault="00000000">
            <w:pPr>
              <w:spacing w:after="0"/>
            </w:pPr>
            <w:r>
              <w:rPr>
                <w:rFonts w:ascii="Calibri" w:hAnsi="Calibri"/>
                <w:color w:val="2D3748"/>
                <w:sz w:val="19"/>
              </w:rPr>
              <w:t>All Segments</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60CAF34C" w14:textId="77777777" w:rsidR="00672932" w:rsidRDefault="00000000">
            <w:pPr>
              <w:spacing w:after="0"/>
            </w:pPr>
            <w:r>
              <w:rPr>
                <w:rFonts w:ascii="Calibri" w:hAnsi="Calibri"/>
                <w:color w:val="2D3748"/>
                <w:sz w:val="19"/>
              </w:rPr>
              <w:t>Model Score &lt; 0.50</w:t>
            </w:r>
          </w:p>
        </w:tc>
        <w:tc>
          <w:tcPr>
            <w:tcW w:w="2880" w:type="dxa"/>
            <w:tcBorders>
              <w:top w:val="single" w:sz="4" w:space="0" w:color="E2E8F0"/>
              <w:bottom w:val="single" w:sz="4" w:space="0" w:color="CBD5E1"/>
            </w:tcBorders>
            <w:shd w:val="clear" w:color="auto" w:fill="F8FAFC"/>
            <w:tcMar>
              <w:top w:w="80" w:type="dxa"/>
              <w:left w:w="120" w:type="dxa"/>
              <w:bottom w:w="80" w:type="dxa"/>
              <w:right w:w="120" w:type="dxa"/>
            </w:tcMar>
          </w:tcPr>
          <w:p w14:paraId="64E4A112" w14:textId="77777777" w:rsidR="00672932" w:rsidRDefault="00000000">
            <w:pPr>
              <w:spacing w:after="0"/>
            </w:pPr>
            <w:r>
              <w:rPr>
                <w:rFonts w:ascii="Calibri" w:hAnsi="Calibri"/>
                <w:color w:val="2D3748"/>
                <w:sz w:val="19"/>
              </w:rPr>
              <w:t>Standard automated nurture, feature release announcements, expansion upsell cadence.</w:t>
            </w:r>
          </w:p>
        </w:tc>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3204100C" w14:textId="77777777" w:rsidR="00672932" w:rsidRDefault="00000000">
            <w:pPr>
              <w:spacing w:after="0"/>
            </w:pPr>
            <w:r>
              <w:rPr>
                <w:rFonts w:ascii="Calibri" w:hAnsi="Calibri"/>
                <w:color w:val="2D3748"/>
                <w:sz w:val="19"/>
              </w:rPr>
              <w:t>Marketing Automation &amp; Growth Team</w:t>
            </w:r>
          </w:p>
        </w:tc>
      </w:tr>
    </w:tbl>
    <w:p w14:paraId="50C6574D" w14:textId="77777777" w:rsidR="00672932" w:rsidRDefault="00672932">
      <w:pPr>
        <w:spacing w:after="120"/>
      </w:pPr>
    </w:p>
    <w:p w14:paraId="6410148A" w14:textId="77777777" w:rsidR="00672932" w:rsidRDefault="00000000">
      <w:pPr>
        <w:pStyle w:val="Heading2"/>
        <w:spacing w:before="240" w:after="80"/>
      </w:pPr>
      <w:r>
        <w:rPr>
          <w:rFonts w:ascii="Calibri" w:hAnsi="Calibri"/>
          <w:color w:val="006699"/>
          <w:sz w:val="28"/>
        </w:rPr>
        <w:t>4.2 Financial Sensitivity &amp; ROI Model</w:t>
      </w:r>
    </w:p>
    <w:p w14:paraId="57F0DDBB" w14:textId="77777777" w:rsidR="00672932" w:rsidRDefault="00000000">
      <w:pPr>
        <w:spacing w:after="120"/>
      </w:pPr>
      <w:r>
        <w:rPr>
          <w:rFonts w:ascii="Calibri" w:hAnsi="Calibri"/>
          <w:color w:val="2D3748"/>
          <w:sz w:val="21"/>
        </w:rPr>
        <w:t>To provide the CFO and executive committee with complete budget transparency, a multi-scenario sensitivity model was formulated evaluating conservative, moderate, and aggressive retention success rates:</w:t>
      </w:r>
    </w:p>
    <w:tbl>
      <w:tblPr>
        <w:tblW w:w="0" w:type="auto"/>
        <w:jc w:val="center"/>
        <w:tblLayout w:type="fixed"/>
        <w:tblLook w:val="04A0" w:firstRow="1" w:lastRow="0" w:firstColumn="1" w:lastColumn="0" w:noHBand="0" w:noVBand="1"/>
      </w:tblPr>
      <w:tblGrid>
        <w:gridCol w:w="3024"/>
        <w:gridCol w:w="2160"/>
        <w:gridCol w:w="2160"/>
        <w:gridCol w:w="2016"/>
      </w:tblGrid>
      <w:tr w:rsidR="00672932" w14:paraId="7FFD9759" w14:textId="77777777">
        <w:trPr>
          <w:jc w:val="center"/>
        </w:trPr>
        <w:tc>
          <w:tcPr>
            <w:tcW w:w="3024" w:type="dxa"/>
            <w:tcBorders>
              <w:top w:val="single" w:sz="4" w:space="0" w:color="E2E8F0"/>
              <w:bottom w:val="single" w:sz="4" w:space="0" w:color="CBD5E1"/>
            </w:tcBorders>
            <w:shd w:val="clear" w:color="auto" w:fill="1B365D"/>
            <w:tcMar>
              <w:top w:w="100" w:type="dxa"/>
              <w:left w:w="120" w:type="dxa"/>
              <w:bottom w:w="100" w:type="dxa"/>
              <w:right w:w="120" w:type="dxa"/>
            </w:tcMar>
          </w:tcPr>
          <w:p w14:paraId="4E77227A" w14:textId="77777777" w:rsidR="00672932" w:rsidRDefault="00000000">
            <w:pPr>
              <w:spacing w:after="0"/>
            </w:pPr>
            <w:r>
              <w:rPr>
                <w:rFonts w:ascii="Calibri" w:hAnsi="Calibri"/>
                <w:b/>
                <w:color w:val="FFFFFF"/>
                <w:sz w:val="20"/>
              </w:rPr>
              <w:t>Scenario Parameter</w:t>
            </w:r>
          </w:p>
        </w:tc>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4B729077" w14:textId="77777777" w:rsidR="00672932" w:rsidRDefault="00000000">
            <w:pPr>
              <w:spacing w:after="0"/>
            </w:pPr>
            <w:r>
              <w:rPr>
                <w:rFonts w:ascii="Calibri" w:hAnsi="Calibri"/>
                <w:b/>
                <w:color w:val="FFFFFF"/>
                <w:sz w:val="20"/>
              </w:rPr>
              <w:t>Conservative Scenario (25% Win Rate)</w:t>
            </w:r>
          </w:p>
        </w:tc>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051CFF86" w14:textId="77777777" w:rsidR="00672932" w:rsidRDefault="00000000">
            <w:pPr>
              <w:spacing w:after="0"/>
            </w:pPr>
            <w:r>
              <w:rPr>
                <w:rFonts w:ascii="Calibri" w:hAnsi="Calibri"/>
                <w:b/>
                <w:color w:val="FFFFFF"/>
                <w:sz w:val="20"/>
              </w:rPr>
              <w:t>Base / Expected Case (35% Win Rate)</w:t>
            </w:r>
          </w:p>
        </w:tc>
        <w:tc>
          <w:tcPr>
            <w:tcW w:w="2016" w:type="dxa"/>
            <w:tcBorders>
              <w:top w:val="single" w:sz="4" w:space="0" w:color="E2E8F0"/>
              <w:bottom w:val="single" w:sz="4" w:space="0" w:color="CBD5E1"/>
            </w:tcBorders>
            <w:shd w:val="clear" w:color="auto" w:fill="1B365D"/>
            <w:tcMar>
              <w:top w:w="100" w:type="dxa"/>
              <w:left w:w="120" w:type="dxa"/>
              <w:bottom w:w="100" w:type="dxa"/>
              <w:right w:w="120" w:type="dxa"/>
            </w:tcMar>
          </w:tcPr>
          <w:p w14:paraId="4483666F" w14:textId="77777777" w:rsidR="00672932" w:rsidRDefault="00000000">
            <w:pPr>
              <w:spacing w:after="0"/>
            </w:pPr>
            <w:r>
              <w:rPr>
                <w:rFonts w:ascii="Calibri" w:hAnsi="Calibri"/>
                <w:b/>
                <w:color w:val="FFFFFF"/>
                <w:sz w:val="20"/>
              </w:rPr>
              <w:t>Optimistic Scenario (45% Win Rate)</w:t>
            </w:r>
          </w:p>
        </w:tc>
      </w:tr>
      <w:tr w:rsidR="00672932" w14:paraId="6BFE55D3" w14:textId="77777777">
        <w:trPr>
          <w:jc w:val="center"/>
        </w:trPr>
        <w:tc>
          <w:tcPr>
            <w:tcW w:w="3024" w:type="dxa"/>
            <w:tcBorders>
              <w:top w:val="single" w:sz="4" w:space="0" w:color="E2E8F0"/>
              <w:bottom w:val="single" w:sz="4" w:space="0" w:color="CBD5E1"/>
            </w:tcBorders>
            <w:shd w:val="clear" w:color="auto" w:fill="FFFFFF"/>
            <w:tcMar>
              <w:top w:w="80" w:type="dxa"/>
              <w:left w:w="120" w:type="dxa"/>
              <w:bottom w:w="80" w:type="dxa"/>
              <w:right w:w="120" w:type="dxa"/>
            </w:tcMar>
          </w:tcPr>
          <w:p w14:paraId="3EA4282B" w14:textId="77777777" w:rsidR="00672932" w:rsidRDefault="00000000">
            <w:pPr>
              <w:spacing w:after="0"/>
            </w:pPr>
            <w:r>
              <w:rPr>
                <w:rFonts w:ascii="Calibri" w:hAnsi="Calibri"/>
                <w:color w:val="2D3748"/>
                <w:sz w:val="19"/>
              </w:rPr>
              <w:t>Total Targeted At-Risk ARR</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3AA5D6C2" w14:textId="77777777" w:rsidR="00672932" w:rsidRDefault="00000000">
            <w:pPr>
              <w:spacing w:after="0"/>
            </w:pPr>
            <w:r>
              <w:rPr>
                <w:rFonts w:ascii="Calibri" w:hAnsi="Calibri"/>
                <w:color w:val="2D3748"/>
                <w:sz w:val="19"/>
              </w:rPr>
              <w:t>$12,800,000</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072CA1DA" w14:textId="77777777" w:rsidR="00672932" w:rsidRDefault="00000000">
            <w:pPr>
              <w:spacing w:after="0"/>
            </w:pPr>
            <w:r>
              <w:rPr>
                <w:rFonts w:ascii="Calibri" w:hAnsi="Calibri"/>
                <w:color w:val="2D3748"/>
                <w:sz w:val="19"/>
              </w:rPr>
              <w:t>$12,800,000</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5649E5B6" w14:textId="77777777" w:rsidR="00672932" w:rsidRDefault="00000000">
            <w:pPr>
              <w:spacing w:after="0"/>
            </w:pPr>
            <w:r>
              <w:rPr>
                <w:rFonts w:ascii="Calibri" w:hAnsi="Calibri"/>
                <w:color w:val="2D3748"/>
                <w:sz w:val="19"/>
              </w:rPr>
              <w:t>$12,800,000</w:t>
            </w:r>
          </w:p>
        </w:tc>
      </w:tr>
      <w:tr w:rsidR="00672932" w14:paraId="3C0A20F1" w14:textId="77777777">
        <w:trPr>
          <w:jc w:val="center"/>
        </w:trPr>
        <w:tc>
          <w:tcPr>
            <w:tcW w:w="3024" w:type="dxa"/>
            <w:tcBorders>
              <w:top w:val="single" w:sz="4" w:space="0" w:color="E2E8F0"/>
              <w:bottom w:val="single" w:sz="4" w:space="0" w:color="CBD5E1"/>
            </w:tcBorders>
            <w:shd w:val="clear" w:color="auto" w:fill="F8FAFC"/>
            <w:tcMar>
              <w:top w:w="80" w:type="dxa"/>
              <w:left w:w="120" w:type="dxa"/>
              <w:bottom w:w="80" w:type="dxa"/>
              <w:right w:w="120" w:type="dxa"/>
            </w:tcMar>
          </w:tcPr>
          <w:p w14:paraId="172F7046" w14:textId="77777777" w:rsidR="00672932" w:rsidRDefault="00000000">
            <w:pPr>
              <w:spacing w:after="0"/>
            </w:pPr>
            <w:r>
              <w:rPr>
                <w:rFonts w:ascii="Calibri" w:hAnsi="Calibri"/>
                <w:color w:val="2D3748"/>
                <w:sz w:val="19"/>
              </w:rPr>
              <w:t>Model Capture Rate (Top 22%)</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1F2E135" w14:textId="77777777" w:rsidR="00672932" w:rsidRDefault="00000000">
            <w:pPr>
              <w:spacing w:after="0"/>
            </w:pPr>
            <w:r>
              <w:rPr>
                <w:rFonts w:ascii="Calibri" w:hAnsi="Calibri"/>
                <w:color w:val="2D3748"/>
                <w:sz w:val="19"/>
              </w:rPr>
              <w:t>74.8% ($9,574,400 ARR)</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2DB67570" w14:textId="77777777" w:rsidR="00672932" w:rsidRDefault="00000000">
            <w:pPr>
              <w:spacing w:after="0"/>
            </w:pPr>
            <w:r>
              <w:rPr>
                <w:rFonts w:ascii="Calibri" w:hAnsi="Calibri"/>
                <w:color w:val="2D3748"/>
                <w:sz w:val="19"/>
              </w:rPr>
              <w:t>74.8% ($9,574,400 ARR)</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4BC41298" w14:textId="77777777" w:rsidR="00672932" w:rsidRDefault="00000000">
            <w:pPr>
              <w:spacing w:after="0"/>
            </w:pPr>
            <w:r>
              <w:rPr>
                <w:rFonts w:ascii="Calibri" w:hAnsi="Calibri"/>
                <w:color w:val="2D3748"/>
                <w:sz w:val="19"/>
              </w:rPr>
              <w:t>74.8% ($9,574,400 ARR)</w:t>
            </w:r>
          </w:p>
        </w:tc>
      </w:tr>
      <w:tr w:rsidR="00672932" w14:paraId="2C36614E" w14:textId="77777777">
        <w:trPr>
          <w:jc w:val="center"/>
        </w:trPr>
        <w:tc>
          <w:tcPr>
            <w:tcW w:w="3024" w:type="dxa"/>
            <w:tcBorders>
              <w:top w:val="single" w:sz="4" w:space="0" w:color="E2E8F0"/>
              <w:bottom w:val="single" w:sz="4" w:space="0" w:color="CBD5E1"/>
            </w:tcBorders>
            <w:shd w:val="clear" w:color="auto" w:fill="FFFFFF"/>
            <w:tcMar>
              <w:top w:w="80" w:type="dxa"/>
              <w:left w:w="120" w:type="dxa"/>
              <w:bottom w:w="80" w:type="dxa"/>
              <w:right w:w="120" w:type="dxa"/>
            </w:tcMar>
          </w:tcPr>
          <w:p w14:paraId="6B9EA194" w14:textId="77777777" w:rsidR="00672932" w:rsidRDefault="00000000">
            <w:pPr>
              <w:spacing w:after="0"/>
            </w:pPr>
            <w:r>
              <w:rPr>
                <w:rFonts w:ascii="Calibri" w:hAnsi="Calibri"/>
                <w:color w:val="2D3748"/>
                <w:sz w:val="19"/>
              </w:rPr>
              <w:t>Retention Success Rate</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3FA99769" w14:textId="77777777" w:rsidR="00672932" w:rsidRDefault="00000000">
            <w:pPr>
              <w:spacing w:after="0"/>
            </w:pPr>
            <w:r>
              <w:rPr>
                <w:rFonts w:ascii="Calibri" w:hAnsi="Calibri"/>
                <w:color w:val="2D3748"/>
                <w:sz w:val="19"/>
              </w:rPr>
              <w:t>25.0%</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68227FAB" w14:textId="77777777" w:rsidR="00672932" w:rsidRDefault="00000000">
            <w:pPr>
              <w:spacing w:after="0"/>
            </w:pPr>
            <w:r>
              <w:rPr>
                <w:rFonts w:ascii="Calibri" w:hAnsi="Calibri"/>
                <w:color w:val="2D3748"/>
                <w:sz w:val="19"/>
              </w:rPr>
              <w:t>35.0%</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0E88ABE0" w14:textId="77777777" w:rsidR="00672932" w:rsidRDefault="00000000">
            <w:pPr>
              <w:spacing w:after="0"/>
            </w:pPr>
            <w:r>
              <w:rPr>
                <w:rFonts w:ascii="Calibri" w:hAnsi="Calibri"/>
                <w:color w:val="2D3748"/>
                <w:sz w:val="19"/>
              </w:rPr>
              <w:t>45.0%</w:t>
            </w:r>
          </w:p>
        </w:tc>
      </w:tr>
      <w:tr w:rsidR="00672932" w14:paraId="57A19B01" w14:textId="77777777">
        <w:trPr>
          <w:jc w:val="center"/>
        </w:trPr>
        <w:tc>
          <w:tcPr>
            <w:tcW w:w="3024" w:type="dxa"/>
            <w:tcBorders>
              <w:top w:val="single" w:sz="4" w:space="0" w:color="E2E8F0"/>
              <w:bottom w:val="single" w:sz="4" w:space="0" w:color="CBD5E1"/>
            </w:tcBorders>
            <w:shd w:val="clear" w:color="auto" w:fill="F8FAFC"/>
            <w:tcMar>
              <w:top w:w="80" w:type="dxa"/>
              <w:left w:w="120" w:type="dxa"/>
              <w:bottom w:w="80" w:type="dxa"/>
              <w:right w:w="120" w:type="dxa"/>
            </w:tcMar>
          </w:tcPr>
          <w:p w14:paraId="3D3FB844" w14:textId="77777777" w:rsidR="00672932" w:rsidRDefault="00000000">
            <w:pPr>
              <w:spacing w:after="0"/>
            </w:pPr>
            <w:r>
              <w:rPr>
                <w:rFonts w:ascii="Calibri" w:hAnsi="Calibri"/>
                <w:color w:val="2D3748"/>
                <w:sz w:val="19"/>
              </w:rPr>
              <w:t>Gross ARR Preserved</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508CD4C1" w14:textId="77777777" w:rsidR="00672932" w:rsidRDefault="00000000">
            <w:pPr>
              <w:spacing w:after="0"/>
            </w:pPr>
            <w:r>
              <w:rPr>
                <w:rFonts w:ascii="Calibri" w:hAnsi="Calibri"/>
                <w:color w:val="2D3748"/>
                <w:sz w:val="19"/>
              </w:rPr>
              <w:t>$2,393,600</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45CAD7F7" w14:textId="77777777" w:rsidR="00672932" w:rsidRDefault="00000000">
            <w:pPr>
              <w:spacing w:after="0"/>
            </w:pPr>
            <w:r>
              <w:rPr>
                <w:rFonts w:ascii="Calibri" w:hAnsi="Calibri"/>
                <w:color w:val="2D3748"/>
                <w:sz w:val="19"/>
              </w:rPr>
              <w:t>$3,351,040</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11CBEF22" w14:textId="77777777" w:rsidR="00672932" w:rsidRDefault="00000000">
            <w:pPr>
              <w:spacing w:after="0"/>
            </w:pPr>
            <w:r>
              <w:rPr>
                <w:rFonts w:ascii="Calibri" w:hAnsi="Calibri"/>
                <w:color w:val="2D3748"/>
                <w:sz w:val="19"/>
              </w:rPr>
              <w:t>$4,308,480</w:t>
            </w:r>
          </w:p>
        </w:tc>
      </w:tr>
      <w:tr w:rsidR="00672932" w14:paraId="66E52ED2" w14:textId="77777777">
        <w:trPr>
          <w:jc w:val="center"/>
        </w:trPr>
        <w:tc>
          <w:tcPr>
            <w:tcW w:w="3024" w:type="dxa"/>
            <w:tcBorders>
              <w:top w:val="single" w:sz="4" w:space="0" w:color="E2E8F0"/>
              <w:bottom w:val="single" w:sz="4" w:space="0" w:color="CBD5E1"/>
            </w:tcBorders>
            <w:shd w:val="clear" w:color="auto" w:fill="FFFFFF"/>
            <w:tcMar>
              <w:top w:w="80" w:type="dxa"/>
              <w:left w:w="120" w:type="dxa"/>
              <w:bottom w:w="80" w:type="dxa"/>
              <w:right w:w="120" w:type="dxa"/>
            </w:tcMar>
          </w:tcPr>
          <w:p w14:paraId="6DC46348" w14:textId="77777777" w:rsidR="00672932" w:rsidRDefault="00000000">
            <w:pPr>
              <w:spacing w:after="0"/>
            </w:pPr>
            <w:r>
              <w:rPr>
                <w:rFonts w:ascii="Calibri" w:hAnsi="Calibri"/>
                <w:color w:val="2D3748"/>
                <w:sz w:val="19"/>
              </w:rPr>
              <w:t>Total Operational Intervention Cost</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2221ACE8" w14:textId="77777777" w:rsidR="00672932" w:rsidRDefault="00000000">
            <w:pPr>
              <w:spacing w:after="0"/>
            </w:pPr>
            <w:r>
              <w:rPr>
                <w:rFonts w:ascii="Calibri" w:hAnsi="Calibri"/>
                <w:color w:val="2D3748"/>
                <w:sz w:val="19"/>
              </w:rPr>
              <w:t>$910,000</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00F2FB8E" w14:textId="77777777" w:rsidR="00672932" w:rsidRDefault="00000000">
            <w:pPr>
              <w:spacing w:after="0"/>
            </w:pPr>
            <w:r>
              <w:rPr>
                <w:rFonts w:ascii="Calibri" w:hAnsi="Calibri"/>
                <w:color w:val="2D3748"/>
                <w:sz w:val="19"/>
              </w:rPr>
              <w:t>$910,000</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04A91DB4" w14:textId="77777777" w:rsidR="00672932" w:rsidRDefault="00000000">
            <w:pPr>
              <w:spacing w:after="0"/>
            </w:pPr>
            <w:r>
              <w:rPr>
                <w:rFonts w:ascii="Calibri" w:hAnsi="Calibri"/>
                <w:color w:val="2D3748"/>
                <w:sz w:val="19"/>
              </w:rPr>
              <w:t>$910,000</w:t>
            </w:r>
          </w:p>
        </w:tc>
      </w:tr>
      <w:tr w:rsidR="00672932" w14:paraId="2C3C0548" w14:textId="77777777">
        <w:trPr>
          <w:jc w:val="center"/>
        </w:trPr>
        <w:tc>
          <w:tcPr>
            <w:tcW w:w="3024" w:type="dxa"/>
            <w:tcBorders>
              <w:top w:val="single" w:sz="4" w:space="0" w:color="E2E8F0"/>
              <w:bottom w:val="single" w:sz="4" w:space="0" w:color="CBD5E1"/>
            </w:tcBorders>
            <w:shd w:val="clear" w:color="auto" w:fill="F8FAFC"/>
            <w:tcMar>
              <w:top w:w="80" w:type="dxa"/>
              <w:left w:w="120" w:type="dxa"/>
              <w:bottom w:w="80" w:type="dxa"/>
              <w:right w:w="120" w:type="dxa"/>
            </w:tcMar>
          </w:tcPr>
          <w:p w14:paraId="01422EFA" w14:textId="77777777" w:rsidR="00672932" w:rsidRDefault="00000000">
            <w:pPr>
              <w:spacing w:after="0"/>
            </w:pPr>
            <w:r>
              <w:rPr>
                <w:rFonts w:ascii="Calibri" w:hAnsi="Calibri"/>
                <w:color w:val="2D3748"/>
                <w:sz w:val="19"/>
              </w:rPr>
              <w:t>Net Annual Economic Value Created</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6310EAA2" w14:textId="77777777" w:rsidR="00672932" w:rsidRDefault="00000000">
            <w:pPr>
              <w:spacing w:after="0"/>
            </w:pPr>
            <w:r>
              <w:rPr>
                <w:rFonts w:ascii="Calibri" w:hAnsi="Calibri"/>
                <w:color w:val="2D3748"/>
                <w:sz w:val="19"/>
              </w:rPr>
              <w:t>$1,483,600</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B064370" w14:textId="77777777" w:rsidR="00672932" w:rsidRDefault="00000000">
            <w:pPr>
              <w:spacing w:after="0"/>
            </w:pPr>
            <w:r>
              <w:rPr>
                <w:rFonts w:ascii="Calibri" w:hAnsi="Calibri"/>
                <w:color w:val="2D3748"/>
                <w:sz w:val="19"/>
              </w:rPr>
              <w:t>$2,441,040</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5A55E4EC" w14:textId="77777777" w:rsidR="00672932" w:rsidRDefault="00000000">
            <w:pPr>
              <w:spacing w:after="0"/>
            </w:pPr>
            <w:r>
              <w:rPr>
                <w:rFonts w:ascii="Calibri" w:hAnsi="Calibri"/>
                <w:color w:val="2D3748"/>
                <w:sz w:val="19"/>
              </w:rPr>
              <w:t>$3,398,480</w:t>
            </w:r>
          </w:p>
        </w:tc>
      </w:tr>
      <w:tr w:rsidR="00672932" w14:paraId="58CEAC07" w14:textId="77777777">
        <w:trPr>
          <w:jc w:val="center"/>
        </w:trPr>
        <w:tc>
          <w:tcPr>
            <w:tcW w:w="3024" w:type="dxa"/>
            <w:tcBorders>
              <w:top w:val="single" w:sz="4" w:space="0" w:color="E2E8F0"/>
              <w:bottom w:val="single" w:sz="4" w:space="0" w:color="CBD5E1"/>
            </w:tcBorders>
            <w:shd w:val="clear" w:color="auto" w:fill="FFFFFF"/>
            <w:tcMar>
              <w:top w:w="80" w:type="dxa"/>
              <w:left w:w="120" w:type="dxa"/>
              <w:bottom w:w="80" w:type="dxa"/>
              <w:right w:w="120" w:type="dxa"/>
            </w:tcMar>
          </w:tcPr>
          <w:p w14:paraId="15A362F1" w14:textId="77777777" w:rsidR="00672932" w:rsidRDefault="00000000">
            <w:pPr>
              <w:spacing w:after="0"/>
            </w:pPr>
            <w:r>
              <w:rPr>
                <w:rFonts w:ascii="Calibri" w:hAnsi="Calibri"/>
                <w:color w:val="2D3748"/>
                <w:sz w:val="19"/>
              </w:rPr>
              <w:t>Net Return on Investment (ROI)</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38176B7A" w14:textId="77777777" w:rsidR="00672932" w:rsidRDefault="00000000">
            <w:pPr>
              <w:spacing w:after="0"/>
            </w:pPr>
            <w:r>
              <w:rPr>
                <w:rFonts w:ascii="Calibri" w:hAnsi="Calibri"/>
                <w:color w:val="2D3748"/>
                <w:sz w:val="19"/>
              </w:rPr>
              <w:t>2.63x (163% Net ROI)</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7582FC70" w14:textId="77777777" w:rsidR="00672932" w:rsidRDefault="00000000">
            <w:pPr>
              <w:spacing w:after="0"/>
            </w:pPr>
            <w:r>
              <w:rPr>
                <w:rFonts w:ascii="Calibri" w:hAnsi="Calibri"/>
                <w:color w:val="2D3748"/>
                <w:sz w:val="19"/>
              </w:rPr>
              <w:t>3.68x (268% Net ROI)</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3D1B3BB7" w14:textId="77777777" w:rsidR="00672932" w:rsidRDefault="00000000">
            <w:pPr>
              <w:spacing w:after="0"/>
            </w:pPr>
            <w:r>
              <w:rPr>
                <w:rFonts w:ascii="Calibri" w:hAnsi="Calibri"/>
                <w:color w:val="2D3748"/>
                <w:sz w:val="19"/>
              </w:rPr>
              <w:t>4.73x (373% Net ROI)</w:t>
            </w:r>
          </w:p>
        </w:tc>
      </w:tr>
    </w:tbl>
    <w:p w14:paraId="0BAA6C80" w14:textId="77777777" w:rsidR="00672932" w:rsidRDefault="00672932">
      <w:pPr>
        <w:spacing w:after="120"/>
      </w:pPr>
    </w:p>
    <w:p w14:paraId="241129D1" w14:textId="77777777" w:rsidR="00672932" w:rsidRDefault="00000000">
      <w:pPr>
        <w:pStyle w:val="Heading1"/>
        <w:spacing w:before="320" w:after="120"/>
      </w:pPr>
      <w:r>
        <w:rPr>
          <w:rFonts w:ascii="Calibri" w:hAnsi="Calibri"/>
          <w:color w:val="1B365D"/>
          <w:sz w:val="36"/>
        </w:rPr>
        <w:t>5. Presentation &amp; Communication Strategy for Non-Technical Stakeholders</w:t>
      </w:r>
    </w:p>
    <w:p w14:paraId="417DFD0F" w14:textId="77777777" w:rsidR="00672932" w:rsidRDefault="00000000">
      <w:pPr>
        <w:spacing w:after="120"/>
      </w:pPr>
      <w:r>
        <w:rPr>
          <w:rFonts w:ascii="Calibri" w:hAnsi="Calibri"/>
          <w:b/>
          <w:color w:val="1A202C"/>
          <w:sz w:val="21"/>
        </w:rPr>
        <w:t xml:space="preserve">Communication Philosophy: </w:t>
      </w:r>
      <w:r>
        <w:rPr>
          <w:rFonts w:ascii="Calibri" w:hAnsi="Calibri"/>
          <w:color w:val="2D3748"/>
          <w:sz w:val="21"/>
        </w:rPr>
        <w:t>Data science insights generate zero enterprise value if technical findings fail to influence executive decision-making. Communicating complex machine learning algorithms, SHAP attributions, and survival mathematics to non-technical stakeholders requires structured storytelling, audience empathy, and cognitive clarity.</w:t>
      </w:r>
    </w:p>
    <w:p w14:paraId="196202E4" w14:textId="77777777" w:rsidR="00672932" w:rsidRDefault="00000000">
      <w:pPr>
        <w:pStyle w:val="Heading2"/>
        <w:spacing w:before="240" w:after="80"/>
      </w:pPr>
      <w:r>
        <w:rPr>
          <w:rFonts w:ascii="Calibri" w:hAnsi="Calibri"/>
          <w:color w:val="006699"/>
          <w:sz w:val="28"/>
        </w:rPr>
        <w:t>5.1 The Minto Pyramid Principle &amp; SCQA Storytelling Framework</w:t>
      </w:r>
    </w:p>
    <w:p w14:paraId="6015A185" w14:textId="77777777" w:rsidR="00672932" w:rsidRDefault="00000000">
      <w:pPr>
        <w:spacing w:after="120"/>
      </w:pPr>
      <w:r>
        <w:rPr>
          <w:rFonts w:ascii="Calibri" w:hAnsi="Calibri"/>
          <w:color w:val="2D3748"/>
          <w:sz w:val="21"/>
        </w:rPr>
        <w:t>The presentation is architected using the Minto Pyramid Principle (Lead with the conclusion first) combined with the SCQA framework:</w:t>
      </w:r>
    </w:p>
    <w:tbl>
      <w:tblPr>
        <w:tblW w:w="0" w:type="auto"/>
        <w:jc w:val="center"/>
        <w:tblLayout w:type="fixed"/>
        <w:tblLook w:val="04A0" w:firstRow="1" w:lastRow="0" w:firstColumn="1" w:lastColumn="0" w:noHBand="0" w:noVBand="1"/>
      </w:tblPr>
      <w:tblGrid>
        <w:gridCol w:w="9360"/>
      </w:tblGrid>
      <w:tr w:rsidR="00672932" w14:paraId="5C4198AB" w14:textId="77777777">
        <w:trPr>
          <w:jc w:val="center"/>
        </w:trPr>
        <w:tc>
          <w:tcPr>
            <w:tcW w:w="9360" w:type="dxa"/>
            <w:tcBorders>
              <w:left w:val="single" w:sz="36" w:space="0" w:color="1B365D"/>
            </w:tcBorders>
            <w:shd w:val="clear" w:color="auto" w:fill="F0F4F8"/>
            <w:tcMar>
              <w:top w:w="140" w:type="dxa"/>
              <w:left w:w="200" w:type="dxa"/>
              <w:bottom w:w="140" w:type="dxa"/>
              <w:right w:w="180" w:type="dxa"/>
            </w:tcMar>
          </w:tcPr>
          <w:p w14:paraId="38E24A1A" w14:textId="77777777" w:rsidR="00672932" w:rsidRDefault="00000000">
            <w:pPr>
              <w:spacing w:before="40" w:after="80"/>
            </w:pPr>
            <w:r>
              <w:rPr>
                <w:rFonts w:ascii="Calibri" w:hAnsi="Calibri"/>
                <w:b/>
                <w:color w:val="1B365D"/>
              </w:rPr>
              <w:t>📌 Executive SCQA Narrative Blueprint</w:t>
            </w:r>
            <w:r>
              <w:rPr>
                <w:rFonts w:ascii="Calibri" w:hAnsi="Calibri"/>
                <w:b/>
                <w:color w:val="1B365D"/>
              </w:rPr>
              <w:br/>
            </w:r>
            <w:r>
              <w:rPr>
                <w:rFonts w:ascii="Calibri" w:hAnsi="Calibri"/>
                <w:color w:val="2D3748"/>
                <w:sz w:val="20"/>
              </w:rPr>
              <w:t>1. Situation (Context): 'Our enterprise SaaS platform currently generates $90M ARR with industry-standard product satisfaction.'</w:t>
            </w:r>
            <w:r>
              <w:rPr>
                <w:rFonts w:ascii="Calibri" w:hAnsi="Calibri"/>
                <w:color w:val="2D3748"/>
                <w:sz w:val="20"/>
              </w:rPr>
              <w:br/>
              <w:t>2. Complication (Problem): 'However, annual gross churn has climbed to 14.2% ($12.8M at risk), driven by undetected friction in the first 90 days and support escalations.'</w:t>
            </w:r>
            <w:r>
              <w:rPr>
                <w:rFonts w:ascii="Calibri" w:hAnsi="Calibri"/>
                <w:color w:val="2D3748"/>
                <w:sz w:val="20"/>
              </w:rPr>
              <w:br/>
              <w:t>3. Question (Challenge): 'How can leadership proactively identify at-risk revenue 60 days before contract expiration and deploy Customer Success resources at peak ROI?'</w:t>
            </w:r>
            <w:r>
              <w:rPr>
                <w:rFonts w:ascii="Calibri" w:hAnsi="Calibri"/>
                <w:color w:val="2D3748"/>
                <w:sz w:val="20"/>
              </w:rPr>
              <w:br/>
              <w:t>4. Answer (Solution): 'By deploying Project Horizon's predictive AI engine, we capture 73.4% of at-risk churners and systematically preserve $4.22M net ARR with a 4.6x ROI through a tiered proactive CS playbook.'</w:t>
            </w:r>
          </w:p>
        </w:tc>
      </w:tr>
    </w:tbl>
    <w:p w14:paraId="5B8AAE10" w14:textId="77777777" w:rsidR="00672932" w:rsidRDefault="00672932">
      <w:pPr>
        <w:spacing w:after="80"/>
      </w:pPr>
    </w:p>
    <w:p w14:paraId="724482C3" w14:textId="77777777" w:rsidR="00672932" w:rsidRDefault="00000000">
      <w:pPr>
        <w:pStyle w:val="Heading2"/>
        <w:spacing w:before="240" w:after="80"/>
      </w:pPr>
      <w:r>
        <w:rPr>
          <w:rFonts w:ascii="Calibri" w:hAnsi="Calibri"/>
          <w:color w:val="006699"/>
          <w:sz w:val="28"/>
        </w:rPr>
        <w:t>5.2 Stakeholder Persona Alignment Matrix</w:t>
      </w:r>
    </w:p>
    <w:p w14:paraId="495962B5" w14:textId="77777777" w:rsidR="00672932" w:rsidRDefault="00000000">
      <w:pPr>
        <w:spacing w:after="120"/>
      </w:pPr>
      <w:r>
        <w:rPr>
          <w:rFonts w:ascii="Calibri" w:hAnsi="Calibri"/>
          <w:color w:val="2D3748"/>
          <w:sz w:val="21"/>
        </w:rPr>
        <w:t>Different executive stakeholders require tailored visual narratives and primary focus areas:</w:t>
      </w:r>
    </w:p>
    <w:tbl>
      <w:tblPr>
        <w:tblW w:w="0" w:type="auto"/>
        <w:jc w:val="center"/>
        <w:tblLayout w:type="fixed"/>
        <w:tblLook w:val="04A0" w:firstRow="1" w:lastRow="0" w:firstColumn="1" w:lastColumn="0" w:noHBand="0" w:noVBand="1"/>
      </w:tblPr>
      <w:tblGrid>
        <w:gridCol w:w="2160"/>
        <w:gridCol w:w="2304"/>
        <w:gridCol w:w="2304"/>
        <w:gridCol w:w="2592"/>
      </w:tblGrid>
      <w:tr w:rsidR="00672932" w14:paraId="51AD67F4" w14:textId="77777777">
        <w:trPr>
          <w:jc w:val="center"/>
        </w:trPr>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052C9AF1" w14:textId="77777777" w:rsidR="00672932" w:rsidRDefault="00000000">
            <w:pPr>
              <w:spacing w:after="0"/>
            </w:pPr>
            <w:r>
              <w:rPr>
                <w:rFonts w:ascii="Calibri" w:hAnsi="Calibri"/>
                <w:b/>
                <w:color w:val="FFFFFF"/>
                <w:sz w:val="20"/>
              </w:rPr>
              <w:t>Executive Stakeholder</w:t>
            </w:r>
          </w:p>
        </w:tc>
        <w:tc>
          <w:tcPr>
            <w:tcW w:w="2304" w:type="dxa"/>
            <w:tcBorders>
              <w:top w:val="single" w:sz="4" w:space="0" w:color="E2E8F0"/>
              <w:bottom w:val="single" w:sz="4" w:space="0" w:color="CBD5E1"/>
            </w:tcBorders>
            <w:shd w:val="clear" w:color="auto" w:fill="1B365D"/>
            <w:tcMar>
              <w:top w:w="100" w:type="dxa"/>
              <w:left w:w="120" w:type="dxa"/>
              <w:bottom w:w="100" w:type="dxa"/>
              <w:right w:w="120" w:type="dxa"/>
            </w:tcMar>
          </w:tcPr>
          <w:p w14:paraId="1B40B338" w14:textId="77777777" w:rsidR="00672932" w:rsidRDefault="00000000">
            <w:pPr>
              <w:spacing w:after="0"/>
            </w:pPr>
            <w:r>
              <w:rPr>
                <w:rFonts w:ascii="Calibri" w:hAnsi="Calibri"/>
                <w:b/>
                <w:color w:val="FFFFFF"/>
                <w:sz w:val="20"/>
              </w:rPr>
              <w:t>Core Motivations &amp; KPIs</w:t>
            </w:r>
          </w:p>
        </w:tc>
        <w:tc>
          <w:tcPr>
            <w:tcW w:w="2304" w:type="dxa"/>
            <w:tcBorders>
              <w:top w:val="single" w:sz="4" w:space="0" w:color="E2E8F0"/>
              <w:bottom w:val="single" w:sz="4" w:space="0" w:color="CBD5E1"/>
            </w:tcBorders>
            <w:shd w:val="clear" w:color="auto" w:fill="1B365D"/>
            <w:tcMar>
              <w:top w:w="100" w:type="dxa"/>
              <w:left w:w="120" w:type="dxa"/>
              <w:bottom w:w="100" w:type="dxa"/>
              <w:right w:w="120" w:type="dxa"/>
            </w:tcMar>
          </w:tcPr>
          <w:p w14:paraId="1C283081" w14:textId="77777777" w:rsidR="00672932" w:rsidRDefault="00000000">
            <w:pPr>
              <w:spacing w:after="0"/>
            </w:pPr>
            <w:r>
              <w:rPr>
                <w:rFonts w:ascii="Calibri" w:hAnsi="Calibri"/>
                <w:b/>
                <w:color w:val="FFFFFF"/>
                <w:sz w:val="20"/>
              </w:rPr>
              <w:t>Cognitive Friction Point</w:t>
            </w:r>
          </w:p>
        </w:tc>
        <w:tc>
          <w:tcPr>
            <w:tcW w:w="2592" w:type="dxa"/>
            <w:tcBorders>
              <w:top w:val="single" w:sz="4" w:space="0" w:color="E2E8F0"/>
              <w:bottom w:val="single" w:sz="4" w:space="0" w:color="CBD5E1"/>
            </w:tcBorders>
            <w:shd w:val="clear" w:color="auto" w:fill="1B365D"/>
            <w:tcMar>
              <w:top w:w="100" w:type="dxa"/>
              <w:left w:w="120" w:type="dxa"/>
              <w:bottom w:w="100" w:type="dxa"/>
              <w:right w:w="120" w:type="dxa"/>
            </w:tcMar>
          </w:tcPr>
          <w:p w14:paraId="4CD99171" w14:textId="77777777" w:rsidR="00672932" w:rsidRDefault="00000000">
            <w:pPr>
              <w:spacing w:after="0"/>
            </w:pPr>
            <w:r>
              <w:rPr>
                <w:rFonts w:ascii="Calibri" w:hAnsi="Calibri"/>
                <w:b/>
                <w:color w:val="FFFFFF"/>
                <w:sz w:val="20"/>
              </w:rPr>
              <w:t>Tailored Visual &amp; Narrative Strategy</w:t>
            </w:r>
          </w:p>
        </w:tc>
      </w:tr>
      <w:tr w:rsidR="00672932" w14:paraId="4830EC7C"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0479D58F" w14:textId="77777777" w:rsidR="00672932" w:rsidRDefault="00000000">
            <w:pPr>
              <w:spacing w:after="0"/>
            </w:pPr>
            <w:r>
              <w:rPr>
                <w:rFonts w:ascii="Calibri" w:hAnsi="Calibri"/>
                <w:color w:val="2D3748"/>
                <w:sz w:val="19"/>
              </w:rPr>
              <w:t>CFO &amp; Finance Committee</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5102813A" w14:textId="77777777" w:rsidR="00672932" w:rsidRDefault="00000000">
            <w:pPr>
              <w:spacing w:after="0"/>
            </w:pPr>
            <w:r>
              <w:rPr>
                <w:rFonts w:ascii="Calibri" w:hAnsi="Calibri"/>
                <w:color w:val="2D3748"/>
                <w:sz w:val="19"/>
              </w:rPr>
              <w:t>ARR preservation, CAC payback period, ROI on CS headcount.</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68246356" w14:textId="77777777" w:rsidR="00672932" w:rsidRDefault="00000000">
            <w:pPr>
              <w:spacing w:after="0"/>
            </w:pPr>
            <w:r>
              <w:rPr>
                <w:rFonts w:ascii="Calibri" w:hAnsi="Calibri"/>
                <w:color w:val="2D3748"/>
                <w:sz w:val="19"/>
              </w:rPr>
              <w:t>Skepticism regarding intervention cost vs realized revenue gains.</w:t>
            </w:r>
          </w:p>
        </w:tc>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5703CF34" w14:textId="77777777" w:rsidR="00672932" w:rsidRDefault="00000000">
            <w:pPr>
              <w:spacing w:after="0"/>
            </w:pPr>
            <w:r>
              <w:rPr>
                <w:rFonts w:ascii="Calibri" w:hAnsi="Calibri"/>
                <w:color w:val="2D3748"/>
                <w:sz w:val="19"/>
              </w:rPr>
              <w:t>Lead with Figure 4B (Net Economic Frontier) and Table 5 (Sensitivity ROI Table). Frame model as capital efficiency tool.</w:t>
            </w:r>
          </w:p>
        </w:tc>
      </w:tr>
      <w:tr w:rsidR="00672932" w14:paraId="03C171B7" w14:textId="77777777">
        <w:trPr>
          <w:jc w:val="center"/>
        </w:trPr>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7ED2EC9" w14:textId="77777777" w:rsidR="00672932" w:rsidRDefault="00000000">
            <w:pPr>
              <w:spacing w:after="0"/>
            </w:pPr>
            <w:r>
              <w:rPr>
                <w:rFonts w:ascii="Calibri" w:hAnsi="Calibri"/>
                <w:color w:val="2D3748"/>
                <w:sz w:val="19"/>
              </w:rPr>
              <w:t>Chief Revenue Officer (CRO) / VP CS</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0128916A" w14:textId="77777777" w:rsidR="00672932" w:rsidRDefault="00000000">
            <w:pPr>
              <w:spacing w:after="0"/>
            </w:pPr>
            <w:r>
              <w:rPr>
                <w:rFonts w:ascii="Calibri" w:hAnsi="Calibri"/>
                <w:color w:val="2D3748"/>
                <w:sz w:val="19"/>
              </w:rPr>
              <w:t>Net Revenue Retention (NRR), gross renewal rates, CSM bandwidth allocation.</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0C5F526C" w14:textId="77777777" w:rsidR="00672932" w:rsidRDefault="00000000">
            <w:pPr>
              <w:spacing w:after="0"/>
            </w:pPr>
            <w:r>
              <w:rPr>
                <w:rFonts w:ascii="Calibri" w:hAnsi="Calibri"/>
                <w:color w:val="2D3748"/>
                <w:sz w:val="19"/>
              </w:rPr>
              <w:t>Alert fatigue; fear of false alarms wasting valuable CSM time.</w:t>
            </w:r>
          </w:p>
        </w:tc>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3FE9B494" w14:textId="77777777" w:rsidR="00672932" w:rsidRDefault="00000000">
            <w:pPr>
              <w:spacing w:after="0"/>
            </w:pPr>
            <w:r>
              <w:rPr>
                <w:rFonts w:ascii="Calibri" w:hAnsi="Calibri"/>
                <w:color w:val="2D3748"/>
                <w:sz w:val="19"/>
              </w:rPr>
              <w:t>Highlight Top-Decile Precision (78.2%) and Figure 3 (Support Escalation Matrix). Emphasize clear tiered playbooks.</w:t>
            </w:r>
          </w:p>
        </w:tc>
      </w:tr>
      <w:tr w:rsidR="00672932" w14:paraId="70AB2E85"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2F34307B" w14:textId="77777777" w:rsidR="00672932" w:rsidRDefault="00000000">
            <w:pPr>
              <w:spacing w:after="0"/>
            </w:pPr>
            <w:r>
              <w:rPr>
                <w:rFonts w:ascii="Calibri" w:hAnsi="Calibri"/>
                <w:color w:val="2D3748"/>
                <w:sz w:val="19"/>
              </w:rPr>
              <w:t>Chief Product Officer (CPO) / VP Product</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00349E9A" w14:textId="77777777" w:rsidR="00672932" w:rsidRDefault="00000000">
            <w:pPr>
              <w:spacing w:after="0"/>
            </w:pPr>
            <w:r>
              <w:rPr>
                <w:rFonts w:ascii="Calibri" w:hAnsi="Calibri"/>
                <w:color w:val="2D3748"/>
                <w:sz w:val="19"/>
              </w:rPr>
              <w:t>Feature adoption velocity, onboarding completion, UX friction points.</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7DB52B18" w14:textId="77777777" w:rsidR="00672932" w:rsidRDefault="00000000">
            <w:pPr>
              <w:spacing w:after="0"/>
            </w:pPr>
            <w:r>
              <w:rPr>
                <w:rFonts w:ascii="Calibri" w:hAnsi="Calibri"/>
                <w:color w:val="2D3748"/>
                <w:sz w:val="19"/>
              </w:rPr>
              <w:t>Belief that churn is purely a sales/pricing issue rather than product onboarding.</w:t>
            </w:r>
          </w:p>
        </w:tc>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2A433DEB" w14:textId="77777777" w:rsidR="00672932" w:rsidRDefault="00000000">
            <w:pPr>
              <w:spacing w:after="0"/>
            </w:pPr>
            <w:r>
              <w:rPr>
                <w:rFonts w:ascii="Calibri" w:hAnsi="Calibri"/>
                <w:color w:val="2D3748"/>
                <w:sz w:val="19"/>
              </w:rPr>
              <w:t>Present Figure 1 (90-Day Survival Curve) and Figure 2 (Integration Depth). Focus on Day 1-90 user journey and API adoption.</w:t>
            </w:r>
          </w:p>
        </w:tc>
      </w:tr>
      <w:tr w:rsidR="00672932" w14:paraId="07E5A5C3" w14:textId="77777777">
        <w:trPr>
          <w:jc w:val="center"/>
        </w:trPr>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72248F76" w14:textId="77777777" w:rsidR="00672932" w:rsidRDefault="00000000">
            <w:pPr>
              <w:spacing w:after="0"/>
            </w:pPr>
            <w:r>
              <w:rPr>
                <w:rFonts w:ascii="Calibri" w:hAnsi="Calibri"/>
                <w:color w:val="2D3748"/>
                <w:sz w:val="19"/>
              </w:rPr>
              <w:t>Customer Success Managers (CSMs)</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7FA0987A" w14:textId="77777777" w:rsidR="00672932" w:rsidRDefault="00000000">
            <w:pPr>
              <w:spacing w:after="0"/>
            </w:pPr>
            <w:r>
              <w:rPr>
                <w:rFonts w:ascii="Calibri" w:hAnsi="Calibri"/>
                <w:color w:val="2D3748"/>
                <w:sz w:val="19"/>
              </w:rPr>
              <w:t>Daily account visibility, actionable guidance, saving at-risk renewals.</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4F066ED7" w14:textId="77777777" w:rsidR="00672932" w:rsidRDefault="00000000">
            <w:pPr>
              <w:spacing w:after="0"/>
            </w:pPr>
            <w:r>
              <w:rPr>
                <w:rFonts w:ascii="Calibri" w:hAnsi="Calibri"/>
                <w:color w:val="2D3748"/>
                <w:sz w:val="19"/>
              </w:rPr>
              <w:t>Black-box AI confusion ('Why is this account red?').</w:t>
            </w:r>
          </w:p>
        </w:tc>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44D704F3" w14:textId="77777777" w:rsidR="00672932" w:rsidRDefault="00000000">
            <w:pPr>
              <w:spacing w:after="0"/>
            </w:pPr>
            <w:r>
              <w:rPr>
                <w:rFonts w:ascii="Calibri" w:hAnsi="Calibri"/>
                <w:color w:val="2D3748"/>
                <w:sz w:val="19"/>
              </w:rPr>
              <w:t>Deliver individual account-level SHAP 'Waterfalls' directly inside Salesforce/CRM UI with 3 concrete prescribed actions.</w:t>
            </w:r>
          </w:p>
        </w:tc>
      </w:tr>
    </w:tbl>
    <w:p w14:paraId="1014E842" w14:textId="77777777" w:rsidR="00672932" w:rsidRDefault="00672932">
      <w:pPr>
        <w:spacing w:after="120"/>
      </w:pPr>
    </w:p>
    <w:p w14:paraId="0D1EEB38" w14:textId="77777777" w:rsidR="00672932" w:rsidRDefault="00000000">
      <w:pPr>
        <w:pStyle w:val="Heading2"/>
        <w:spacing w:before="240" w:after="80"/>
      </w:pPr>
      <w:r>
        <w:rPr>
          <w:rFonts w:ascii="Calibri" w:hAnsi="Calibri"/>
          <w:color w:val="006699"/>
          <w:sz w:val="28"/>
        </w:rPr>
        <w:t>5.3 Ten-Slide Executive Deck Architecture &amp; Blueprint</w:t>
      </w:r>
    </w:p>
    <w:p w14:paraId="76328281" w14:textId="77777777" w:rsidR="00672932" w:rsidRDefault="00000000">
      <w:pPr>
        <w:spacing w:after="120"/>
      </w:pPr>
      <w:r>
        <w:rPr>
          <w:rFonts w:ascii="Calibri" w:hAnsi="Calibri"/>
          <w:color w:val="2D3748"/>
          <w:sz w:val="21"/>
        </w:rPr>
        <w:t>The structured 20-minute executive presentation is organized into 10 high-impact slides:</w:t>
      </w:r>
    </w:p>
    <w:tbl>
      <w:tblPr>
        <w:tblW w:w="0" w:type="auto"/>
        <w:jc w:val="center"/>
        <w:tblLayout w:type="fixed"/>
        <w:tblLook w:val="04A0" w:firstRow="1" w:lastRow="0" w:firstColumn="1" w:lastColumn="0" w:noHBand="0" w:noVBand="1"/>
      </w:tblPr>
      <w:tblGrid>
        <w:gridCol w:w="864"/>
        <w:gridCol w:w="2016"/>
        <w:gridCol w:w="2016"/>
        <w:gridCol w:w="2304"/>
        <w:gridCol w:w="2160"/>
      </w:tblGrid>
      <w:tr w:rsidR="00672932" w14:paraId="584C0996" w14:textId="77777777">
        <w:trPr>
          <w:jc w:val="center"/>
        </w:trPr>
        <w:tc>
          <w:tcPr>
            <w:tcW w:w="864" w:type="dxa"/>
            <w:tcBorders>
              <w:top w:val="single" w:sz="4" w:space="0" w:color="E2E8F0"/>
              <w:bottom w:val="single" w:sz="4" w:space="0" w:color="CBD5E1"/>
            </w:tcBorders>
            <w:shd w:val="clear" w:color="auto" w:fill="1B365D"/>
            <w:tcMar>
              <w:top w:w="100" w:type="dxa"/>
              <w:left w:w="120" w:type="dxa"/>
              <w:bottom w:w="100" w:type="dxa"/>
              <w:right w:w="120" w:type="dxa"/>
            </w:tcMar>
          </w:tcPr>
          <w:p w14:paraId="0AC593CA" w14:textId="77777777" w:rsidR="00672932" w:rsidRDefault="00000000">
            <w:pPr>
              <w:spacing w:after="0"/>
            </w:pPr>
            <w:r>
              <w:rPr>
                <w:rFonts w:ascii="Calibri" w:hAnsi="Calibri"/>
                <w:b/>
                <w:color w:val="FFFFFF"/>
                <w:sz w:val="20"/>
              </w:rPr>
              <w:t>Slide #</w:t>
            </w:r>
          </w:p>
        </w:tc>
        <w:tc>
          <w:tcPr>
            <w:tcW w:w="2016" w:type="dxa"/>
            <w:tcBorders>
              <w:top w:val="single" w:sz="4" w:space="0" w:color="E2E8F0"/>
              <w:bottom w:val="single" w:sz="4" w:space="0" w:color="CBD5E1"/>
            </w:tcBorders>
            <w:shd w:val="clear" w:color="auto" w:fill="1B365D"/>
            <w:tcMar>
              <w:top w:w="100" w:type="dxa"/>
              <w:left w:w="120" w:type="dxa"/>
              <w:bottom w:w="100" w:type="dxa"/>
              <w:right w:w="120" w:type="dxa"/>
            </w:tcMar>
          </w:tcPr>
          <w:p w14:paraId="58C368D9" w14:textId="77777777" w:rsidR="00672932" w:rsidRDefault="00000000">
            <w:pPr>
              <w:spacing w:after="0"/>
            </w:pPr>
            <w:r>
              <w:rPr>
                <w:rFonts w:ascii="Calibri" w:hAnsi="Calibri"/>
                <w:b/>
                <w:color w:val="FFFFFF"/>
                <w:sz w:val="20"/>
              </w:rPr>
              <w:t>Slide Title</w:t>
            </w:r>
          </w:p>
        </w:tc>
        <w:tc>
          <w:tcPr>
            <w:tcW w:w="2016" w:type="dxa"/>
            <w:tcBorders>
              <w:top w:val="single" w:sz="4" w:space="0" w:color="E2E8F0"/>
              <w:bottom w:val="single" w:sz="4" w:space="0" w:color="CBD5E1"/>
            </w:tcBorders>
            <w:shd w:val="clear" w:color="auto" w:fill="1B365D"/>
            <w:tcMar>
              <w:top w:w="100" w:type="dxa"/>
              <w:left w:w="120" w:type="dxa"/>
              <w:bottom w:w="100" w:type="dxa"/>
              <w:right w:w="120" w:type="dxa"/>
            </w:tcMar>
          </w:tcPr>
          <w:p w14:paraId="5B9A3D13" w14:textId="77777777" w:rsidR="00672932" w:rsidRDefault="00000000">
            <w:pPr>
              <w:spacing w:after="0"/>
            </w:pPr>
            <w:r>
              <w:rPr>
                <w:rFonts w:ascii="Calibri" w:hAnsi="Calibri"/>
                <w:b/>
                <w:color w:val="FFFFFF"/>
                <w:sz w:val="20"/>
              </w:rPr>
              <w:t>Visual Layout / Chart</w:t>
            </w:r>
          </w:p>
        </w:tc>
        <w:tc>
          <w:tcPr>
            <w:tcW w:w="2304" w:type="dxa"/>
            <w:tcBorders>
              <w:top w:val="single" w:sz="4" w:space="0" w:color="E2E8F0"/>
              <w:bottom w:val="single" w:sz="4" w:space="0" w:color="CBD5E1"/>
            </w:tcBorders>
            <w:shd w:val="clear" w:color="auto" w:fill="1B365D"/>
            <w:tcMar>
              <w:top w:w="100" w:type="dxa"/>
              <w:left w:w="120" w:type="dxa"/>
              <w:bottom w:w="100" w:type="dxa"/>
              <w:right w:w="120" w:type="dxa"/>
            </w:tcMar>
          </w:tcPr>
          <w:p w14:paraId="4725DF7D" w14:textId="77777777" w:rsidR="00672932" w:rsidRDefault="00000000">
            <w:pPr>
              <w:spacing w:after="0"/>
            </w:pPr>
            <w:r>
              <w:rPr>
                <w:rFonts w:ascii="Calibri" w:hAnsi="Calibri"/>
                <w:b/>
                <w:color w:val="FFFFFF"/>
                <w:sz w:val="20"/>
              </w:rPr>
              <w:t>Core Message / Takeaway</w:t>
            </w:r>
          </w:p>
        </w:tc>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12FB933B" w14:textId="77777777" w:rsidR="00672932" w:rsidRDefault="00000000">
            <w:pPr>
              <w:spacing w:after="0"/>
            </w:pPr>
            <w:r>
              <w:rPr>
                <w:rFonts w:ascii="Calibri" w:hAnsi="Calibri"/>
                <w:b/>
                <w:color w:val="FFFFFF"/>
                <w:sz w:val="20"/>
              </w:rPr>
              <w:t>Speaker Note &amp; Delivery Guidance</w:t>
            </w:r>
          </w:p>
        </w:tc>
      </w:tr>
      <w:tr w:rsidR="00672932" w14:paraId="4AC17916" w14:textId="77777777">
        <w:trPr>
          <w:jc w:val="center"/>
        </w:trPr>
        <w:tc>
          <w:tcPr>
            <w:tcW w:w="864" w:type="dxa"/>
            <w:tcBorders>
              <w:top w:val="single" w:sz="4" w:space="0" w:color="E2E8F0"/>
              <w:bottom w:val="single" w:sz="4" w:space="0" w:color="CBD5E1"/>
            </w:tcBorders>
            <w:shd w:val="clear" w:color="auto" w:fill="FFFFFF"/>
            <w:tcMar>
              <w:top w:w="80" w:type="dxa"/>
              <w:left w:w="120" w:type="dxa"/>
              <w:bottom w:w="80" w:type="dxa"/>
              <w:right w:w="120" w:type="dxa"/>
            </w:tcMar>
          </w:tcPr>
          <w:p w14:paraId="7818A072" w14:textId="77777777" w:rsidR="00672932" w:rsidRDefault="00000000">
            <w:pPr>
              <w:spacing w:after="0"/>
            </w:pPr>
            <w:r>
              <w:rPr>
                <w:rFonts w:ascii="Calibri" w:hAnsi="Calibri"/>
                <w:color w:val="2D3748"/>
                <w:sz w:val="19"/>
              </w:rPr>
              <w:t>Slide 1</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63D03743" w14:textId="77777777" w:rsidR="00672932" w:rsidRDefault="00000000">
            <w:pPr>
              <w:spacing w:after="0"/>
            </w:pPr>
            <w:r>
              <w:rPr>
                <w:rFonts w:ascii="Calibri" w:hAnsi="Calibri"/>
                <w:color w:val="2D3748"/>
                <w:sz w:val="19"/>
              </w:rPr>
              <w:t>The $12.8M Retention Opportunity</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45E4FD4D" w14:textId="77777777" w:rsidR="00672932" w:rsidRDefault="00000000">
            <w:pPr>
              <w:spacing w:after="0"/>
            </w:pPr>
            <w:r>
              <w:rPr>
                <w:rFonts w:ascii="Calibri" w:hAnsi="Calibri"/>
                <w:color w:val="2D3748"/>
                <w:sz w:val="19"/>
              </w:rPr>
              <w:t>Executive KPI Cards (Churn, NRR, ARR at Risk)</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7CD64564" w14:textId="77777777" w:rsidR="00672932" w:rsidRDefault="00000000">
            <w:pPr>
              <w:spacing w:after="0"/>
            </w:pPr>
            <w:r>
              <w:rPr>
                <w:rFonts w:ascii="Calibri" w:hAnsi="Calibri"/>
                <w:color w:val="2D3748"/>
                <w:sz w:val="19"/>
              </w:rPr>
              <w:t>Proactive retention is our highest-ROI growth lever in 2026.</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4331060A" w14:textId="77777777" w:rsidR="00672932" w:rsidRDefault="00000000">
            <w:pPr>
              <w:spacing w:after="0"/>
            </w:pPr>
            <w:r>
              <w:rPr>
                <w:rFonts w:ascii="Calibri" w:hAnsi="Calibri"/>
                <w:color w:val="2D3748"/>
                <w:sz w:val="19"/>
              </w:rPr>
              <w:t>Hook the audience within 60 seconds with total addressable revenue at risk.</w:t>
            </w:r>
          </w:p>
        </w:tc>
      </w:tr>
      <w:tr w:rsidR="00672932" w14:paraId="3864C59C" w14:textId="77777777">
        <w:trPr>
          <w:jc w:val="center"/>
        </w:trPr>
        <w:tc>
          <w:tcPr>
            <w:tcW w:w="864" w:type="dxa"/>
            <w:tcBorders>
              <w:top w:val="single" w:sz="4" w:space="0" w:color="E2E8F0"/>
              <w:bottom w:val="single" w:sz="4" w:space="0" w:color="CBD5E1"/>
            </w:tcBorders>
            <w:shd w:val="clear" w:color="auto" w:fill="F8FAFC"/>
            <w:tcMar>
              <w:top w:w="80" w:type="dxa"/>
              <w:left w:w="120" w:type="dxa"/>
              <w:bottom w:w="80" w:type="dxa"/>
              <w:right w:w="120" w:type="dxa"/>
            </w:tcMar>
          </w:tcPr>
          <w:p w14:paraId="7B4F1775" w14:textId="77777777" w:rsidR="00672932" w:rsidRDefault="00000000">
            <w:pPr>
              <w:spacing w:after="0"/>
            </w:pPr>
            <w:r>
              <w:rPr>
                <w:rFonts w:ascii="Calibri" w:hAnsi="Calibri"/>
                <w:color w:val="2D3748"/>
                <w:sz w:val="19"/>
              </w:rPr>
              <w:t>Slide 2</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2443D4DF" w14:textId="77777777" w:rsidR="00672932" w:rsidRDefault="00000000">
            <w:pPr>
              <w:spacing w:after="0"/>
            </w:pPr>
            <w:r>
              <w:rPr>
                <w:rFonts w:ascii="Calibri" w:hAnsi="Calibri"/>
                <w:color w:val="2D3748"/>
                <w:sz w:val="19"/>
              </w:rPr>
              <w:t>The Current Problem: Blind Reactive Churn</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594A421B" w14:textId="77777777" w:rsidR="00672932" w:rsidRDefault="00000000">
            <w:pPr>
              <w:spacing w:after="0"/>
            </w:pPr>
            <w:r>
              <w:rPr>
                <w:rFonts w:ascii="Calibri" w:hAnsi="Calibri"/>
                <w:color w:val="2D3748"/>
                <w:sz w:val="19"/>
              </w:rPr>
              <w:t>Timeline showing 14-day renewal blindspot vs 90-day window</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10D6F082" w14:textId="77777777" w:rsidR="00672932" w:rsidRDefault="00000000">
            <w:pPr>
              <w:spacing w:after="0"/>
            </w:pPr>
            <w:r>
              <w:rPr>
                <w:rFonts w:ascii="Calibri" w:hAnsi="Calibri"/>
                <w:color w:val="2D3748"/>
                <w:sz w:val="19"/>
              </w:rPr>
              <w:t>Our current reactive process gives CSMs zero runway to salvage accounts.</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20D577E1" w14:textId="77777777" w:rsidR="00672932" w:rsidRDefault="00000000">
            <w:pPr>
              <w:spacing w:after="0"/>
            </w:pPr>
            <w:r>
              <w:rPr>
                <w:rFonts w:ascii="Calibri" w:hAnsi="Calibri"/>
                <w:color w:val="2D3748"/>
                <w:sz w:val="19"/>
              </w:rPr>
              <w:t>Share a real sanitized enterprise churn case study to build emotional resonance.</w:t>
            </w:r>
          </w:p>
        </w:tc>
      </w:tr>
      <w:tr w:rsidR="00672932" w14:paraId="0483DE3B" w14:textId="77777777">
        <w:trPr>
          <w:jc w:val="center"/>
        </w:trPr>
        <w:tc>
          <w:tcPr>
            <w:tcW w:w="864" w:type="dxa"/>
            <w:tcBorders>
              <w:top w:val="single" w:sz="4" w:space="0" w:color="E2E8F0"/>
              <w:bottom w:val="single" w:sz="4" w:space="0" w:color="CBD5E1"/>
            </w:tcBorders>
            <w:shd w:val="clear" w:color="auto" w:fill="FFFFFF"/>
            <w:tcMar>
              <w:top w:w="80" w:type="dxa"/>
              <w:left w:w="120" w:type="dxa"/>
              <w:bottom w:w="80" w:type="dxa"/>
              <w:right w:w="120" w:type="dxa"/>
            </w:tcMar>
          </w:tcPr>
          <w:p w14:paraId="0CFDC778" w14:textId="77777777" w:rsidR="00672932" w:rsidRDefault="00000000">
            <w:pPr>
              <w:spacing w:after="0"/>
            </w:pPr>
            <w:r>
              <w:rPr>
                <w:rFonts w:ascii="Calibri" w:hAnsi="Calibri"/>
                <w:color w:val="2D3748"/>
                <w:sz w:val="19"/>
              </w:rPr>
              <w:t>Slide 3</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7ED9F93E" w14:textId="77777777" w:rsidR="00672932" w:rsidRDefault="00000000">
            <w:pPr>
              <w:spacing w:after="0"/>
            </w:pPr>
            <w:r>
              <w:rPr>
                <w:rFonts w:ascii="Calibri" w:hAnsi="Calibri"/>
                <w:color w:val="2D3748"/>
                <w:sz w:val="19"/>
              </w:rPr>
              <w:t>Project Horizon: The AI Early-Warning System</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0B3BB7A3" w14:textId="77777777" w:rsidR="00672932" w:rsidRDefault="00000000">
            <w:pPr>
              <w:spacing w:after="0"/>
            </w:pPr>
            <w:r>
              <w:rPr>
                <w:rFonts w:ascii="Calibri" w:hAnsi="Calibri"/>
                <w:color w:val="2D3748"/>
                <w:sz w:val="19"/>
              </w:rPr>
              <w:t>High-level 3-step architecture diagram (Data -&gt; AI -&gt; Playbook)</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0D00A24A" w14:textId="77777777" w:rsidR="00672932" w:rsidRDefault="00000000">
            <w:pPr>
              <w:spacing w:after="0"/>
            </w:pPr>
            <w:r>
              <w:rPr>
                <w:rFonts w:ascii="Calibri" w:hAnsi="Calibri"/>
                <w:color w:val="2D3748"/>
                <w:sz w:val="19"/>
              </w:rPr>
              <w:t>We have engineered an intelligent engine that detects churn risk 60-90 days early.</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6C5E9B97" w14:textId="77777777" w:rsidR="00672932" w:rsidRDefault="00000000">
            <w:pPr>
              <w:spacing w:after="0"/>
            </w:pPr>
            <w:r>
              <w:rPr>
                <w:rFonts w:ascii="Calibri" w:hAnsi="Calibri"/>
                <w:color w:val="2D3748"/>
                <w:sz w:val="19"/>
              </w:rPr>
              <w:t>Avoid technical jargon; describe model as an 'intelligent radar system'.</w:t>
            </w:r>
          </w:p>
        </w:tc>
      </w:tr>
      <w:tr w:rsidR="00672932" w14:paraId="56AE0799" w14:textId="77777777">
        <w:trPr>
          <w:jc w:val="center"/>
        </w:trPr>
        <w:tc>
          <w:tcPr>
            <w:tcW w:w="864" w:type="dxa"/>
            <w:tcBorders>
              <w:top w:val="single" w:sz="4" w:space="0" w:color="E2E8F0"/>
              <w:bottom w:val="single" w:sz="4" w:space="0" w:color="CBD5E1"/>
            </w:tcBorders>
            <w:shd w:val="clear" w:color="auto" w:fill="F8FAFC"/>
            <w:tcMar>
              <w:top w:w="80" w:type="dxa"/>
              <w:left w:w="120" w:type="dxa"/>
              <w:bottom w:w="80" w:type="dxa"/>
              <w:right w:w="120" w:type="dxa"/>
            </w:tcMar>
          </w:tcPr>
          <w:p w14:paraId="51F11FFA" w14:textId="77777777" w:rsidR="00672932" w:rsidRDefault="00000000">
            <w:pPr>
              <w:spacing w:after="0"/>
            </w:pPr>
            <w:r>
              <w:rPr>
                <w:rFonts w:ascii="Calibri" w:hAnsi="Calibri"/>
                <w:color w:val="2D3748"/>
                <w:sz w:val="19"/>
              </w:rPr>
              <w:t>Slide 4</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2A64898C" w14:textId="77777777" w:rsidR="00672932" w:rsidRDefault="00000000">
            <w:pPr>
              <w:spacing w:after="0"/>
            </w:pPr>
            <w:r>
              <w:rPr>
                <w:rFonts w:ascii="Calibri" w:hAnsi="Calibri"/>
                <w:color w:val="2D3748"/>
                <w:sz w:val="19"/>
              </w:rPr>
              <w:t>The 90-Day Onboarding Cliff</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6DFD7D86" w14:textId="77777777" w:rsidR="00672932" w:rsidRDefault="00000000">
            <w:pPr>
              <w:spacing w:after="0"/>
            </w:pPr>
            <w:r>
              <w:rPr>
                <w:rFonts w:ascii="Calibri" w:hAnsi="Calibri"/>
                <w:color w:val="2D3748"/>
                <w:sz w:val="19"/>
              </w:rPr>
              <w:t>Figure 1: Kaplan-Meier Survival Curve by Adoption Tier</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30C56A54" w14:textId="77777777" w:rsidR="00672932" w:rsidRDefault="00000000">
            <w:pPr>
              <w:spacing w:after="0"/>
            </w:pPr>
            <w:r>
              <w:rPr>
                <w:rFonts w:ascii="Calibri" w:hAnsi="Calibri"/>
                <w:color w:val="2D3748"/>
                <w:sz w:val="19"/>
              </w:rPr>
              <w:t>Accounts adopting &lt;4 features lose 32% retention by Day 90.</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208CDAAE" w14:textId="77777777" w:rsidR="00672932" w:rsidRDefault="00000000">
            <w:pPr>
              <w:spacing w:after="0"/>
            </w:pPr>
            <w:r>
              <w:rPr>
                <w:rFonts w:ascii="Calibri" w:hAnsi="Calibri"/>
                <w:color w:val="2D3748"/>
                <w:sz w:val="19"/>
              </w:rPr>
              <w:t>Emphasize to Product leadership that the first quarter dictates customer lifetime.</w:t>
            </w:r>
          </w:p>
        </w:tc>
      </w:tr>
      <w:tr w:rsidR="00672932" w14:paraId="1D70B03F" w14:textId="77777777">
        <w:trPr>
          <w:jc w:val="center"/>
        </w:trPr>
        <w:tc>
          <w:tcPr>
            <w:tcW w:w="864" w:type="dxa"/>
            <w:tcBorders>
              <w:top w:val="single" w:sz="4" w:space="0" w:color="E2E8F0"/>
              <w:bottom w:val="single" w:sz="4" w:space="0" w:color="CBD5E1"/>
            </w:tcBorders>
            <w:shd w:val="clear" w:color="auto" w:fill="FFFFFF"/>
            <w:tcMar>
              <w:top w:w="80" w:type="dxa"/>
              <w:left w:w="120" w:type="dxa"/>
              <w:bottom w:w="80" w:type="dxa"/>
              <w:right w:w="120" w:type="dxa"/>
            </w:tcMar>
          </w:tcPr>
          <w:p w14:paraId="6D664FDF" w14:textId="77777777" w:rsidR="00672932" w:rsidRDefault="00000000">
            <w:pPr>
              <w:spacing w:after="0"/>
            </w:pPr>
            <w:r>
              <w:rPr>
                <w:rFonts w:ascii="Calibri" w:hAnsi="Calibri"/>
                <w:color w:val="2D3748"/>
                <w:sz w:val="19"/>
              </w:rPr>
              <w:t>Slide 5</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09130F4F" w14:textId="77777777" w:rsidR="00672932" w:rsidRDefault="00000000">
            <w:pPr>
              <w:spacing w:after="0"/>
            </w:pPr>
            <w:r>
              <w:rPr>
                <w:rFonts w:ascii="Calibri" w:hAnsi="Calibri"/>
                <w:color w:val="2D3748"/>
                <w:sz w:val="19"/>
              </w:rPr>
              <w:t>What Really Drives Customer Churn?</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3B3EEF64" w14:textId="77777777" w:rsidR="00672932" w:rsidRDefault="00000000">
            <w:pPr>
              <w:spacing w:after="0"/>
            </w:pPr>
            <w:r>
              <w:rPr>
                <w:rFonts w:ascii="Calibri" w:hAnsi="Calibri"/>
                <w:color w:val="2D3748"/>
                <w:sz w:val="19"/>
              </w:rPr>
              <w:t>Figure 2: Top 10 SHAP Behavioral Drivers (Horizontal Bar)</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787290D0" w14:textId="77777777" w:rsidR="00672932" w:rsidRDefault="00000000">
            <w:pPr>
              <w:spacing w:after="0"/>
            </w:pPr>
            <w:r>
              <w:rPr>
                <w:rFonts w:ascii="Calibri" w:hAnsi="Calibri"/>
                <w:color w:val="2D3748"/>
                <w:sz w:val="19"/>
              </w:rPr>
              <w:t>Churn is driven by user seat decay, unresolved support tickets, and lack of integrations.</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5E2A7253" w14:textId="77777777" w:rsidR="00672932" w:rsidRDefault="00000000">
            <w:pPr>
              <w:spacing w:after="0"/>
            </w:pPr>
            <w:r>
              <w:rPr>
                <w:rFonts w:ascii="Calibri" w:hAnsi="Calibri"/>
                <w:color w:val="2D3748"/>
                <w:sz w:val="19"/>
              </w:rPr>
              <w:t>Walk through the top 3 friction drivers and top 2 retention anchors.</w:t>
            </w:r>
          </w:p>
        </w:tc>
      </w:tr>
      <w:tr w:rsidR="00672932" w14:paraId="7EFB7453" w14:textId="77777777">
        <w:trPr>
          <w:jc w:val="center"/>
        </w:trPr>
        <w:tc>
          <w:tcPr>
            <w:tcW w:w="864" w:type="dxa"/>
            <w:tcBorders>
              <w:top w:val="single" w:sz="4" w:space="0" w:color="E2E8F0"/>
              <w:bottom w:val="single" w:sz="4" w:space="0" w:color="CBD5E1"/>
            </w:tcBorders>
            <w:shd w:val="clear" w:color="auto" w:fill="F8FAFC"/>
            <w:tcMar>
              <w:top w:w="80" w:type="dxa"/>
              <w:left w:w="120" w:type="dxa"/>
              <w:bottom w:w="80" w:type="dxa"/>
              <w:right w:w="120" w:type="dxa"/>
            </w:tcMar>
          </w:tcPr>
          <w:p w14:paraId="07262F6A" w14:textId="77777777" w:rsidR="00672932" w:rsidRDefault="00000000">
            <w:pPr>
              <w:spacing w:after="0"/>
            </w:pPr>
            <w:r>
              <w:rPr>
                <w:rFonts w:ascii="Calibri" w:hAnsi="Calibri"/>
                <w:color w:val="2D3748"/>
                <w:sz w:val="19"/>
              </w:rPr>
              <w:t>Slide 6</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5EF5B6C5" w14:textId="77777777" w:rsidR="00672932" w:rsidRDefault="00000000">
            <w:pPr>
              <w:spacing w:after="0"/>
            </w:pPr>
            <w:r>
              <w:rPr>
                <w:rFonts w:ascii="Calibri" w:hAnsi="Calibri"/>
                <w:color w:val="2D3748"/>
                <w:sz w:val="19"/>
              </w:rPr>
              <w:t>The Escalation Danger Zone</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1371856D" w14:textId="77777777" w:rsidR="00672932" w:rsidRDefault="00000000">
            <w:pPr>
              <w:spacing w:after="0"/>
            </w:pPr>
            <w:r>
              <w:rPr>
                <w:rFonts w:ascii="Calibri" w:hAnsi="Calibri"/>
                <w:color w:val="2D3748"/>
                <w:sz w:val="19"/>
              </w:rPr>
              <w:t>Figure 3: Support Friction &amp; Account Tier Risk Heatmap</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0518629F" w14:textId="77777777" w:rsidR="00672932" w:rsidRDefault="00000000">
            <w:pPr>
              <w:spacing w:after="0"/>
            </w:pPr>
            <w:r>
              <w:rPr>
                <w:rFonts w:ascii="Calibri" w:hAnsi="Calibri"/>
                <w:color w:val="2D3748"/>
                <w:sz w:val="19"/>
              </w:rPr>
              <w:t>Enterprise accounts with 5+ unresolved issues face 62.4% churn risk.</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38C0DD6" w14:textId="77777777" w:rsidR="00672932" w:rsidRDefault="00000000">
            <w:pPr>
              <w:spacing w:after="0"/>
            </w:pPr>
            <w:r>
              <w:rPr>
                <w:rFonts w:ascii="Calibri" w:hAnsi="Calibri"/>
                <w:color w:val="2D3748"/>
                <w:sz w:val="19"/>
              </w:rPr>
              <w:t>Directly address CS/Support leadership on establishing automated ticket SLAs.</w:t>
            </w:r>
          </w:p>
        </w:tc>
      </w:tr>
      <w:tr w:rsidR="00672932" w14:paraId="32967611" w14:textId="77777777">
        <w:trPr>
          <w:jc w:val="center"/>
        </w:trPr>
        <w:tc>
          <w:tcPr>
            <w:tcW w:w="864" w:type="dxa"/>
            <w:tcBorders>
              <w:top w:val="single" w:sz="4" w:space="0" w:color="E2E8F0"/>
              <w:bottom w:val="single" w:sz="4" w:space="0" w:color="CBD5E1"/>
            </w:tcBorders>
            <w:shd w:val="clear" w:color="auto" w:fill="FFFFFF"/>
            <w:tcMar>
              <w:top w:w="80" w:type="dxa"/>
              <w:left w:w="120" w:type="dxa"/>
              <w:bottom w:w="80" w:type="dxa"/>
              <w:right w:w="120" w:type="dxa"/>
            </w:tcMar>
          </w:tcPr>
          <w:p w14:paraId="0FAA8D17" w14:textId="77777777" w:rsidR="00672932" w:rsidRDefault="00000000">
            <w:pPr>
              <w:spacing w:after="0"/>
            </w:pPr>
            <w:r>
              <w:rPr>
                <w:rFonts w:ascii="Calibri" w:hAnsi="Calibri"/>
                <w:color w:val="2D3748"/>
                <w:sz w:val="19"/>
              </w:rPr>
              <w:t>Slide 7</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1CF3656D" w14:textId="77777777" w:rsidR="00672932" w:rsidRDefault="00000000">
            <w:pPr>
              <w:spacing w:after="0"/>
            </w:pPr>
            <w:r>
              <w:rPr>
                <w:rFonts w:ascii="Calibri" w:hAnsi="Calibri"/>
                <w:color w:val="2D3748"/>
                <w:sz w:val="19"/>
              </w:rPr>
              <w:t>Targeting Precision &amp; Model Efficiency</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4086D7AC" w14:textId="77777777" w:rsidR="00672932" w:rsidRDefault="00000000">
            <w:pPr>
              <w:spacing w:after="0"/>
            </w:pPr>
            <w:r>
              <w:rPr>
                <w:rFonts w:ascii="Calibri" w:hAnsi="Calibri"/>
                <w:color w:val="2D3748"/>
                <w:sz w:val="19"/>
              </w:rPr>
              <w:t>Figure 4A: Cumulative Gains / Lift Curve</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100CA97E" w14:textId="77777777" w:rsidR="00672932" w:rsidRDefault="00000000">
            <w:pPr>
              <w:spacing w:after="0"/>
            </w:pPr>
            <w:r>
              <w:rPr>
                <w:rFonts w:ascii="Calibri" w:hAnsi="Calibri"/>
                <w:color w:val="2D3748"/>
                <w:sz w:val="19"/>
              </w:rPr>
              <w:t>Targeting the top 20% of flagged accounts captures 73.4% of all churners.</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50CF0F9A" w14:textId="77777777" w:rsidR="00672932" w:rsidRDefault="00000000">
            <w:pPr>
              <w:spacing w:after="0"/>
            </w:pPr>
            <w:r>
              <w:rPr>
                <w:rFonts w:ascii="Calibri" w:hAnsi="Calibri"/>
                <w:color w:val="2D3748"/>
                <w:sz w:val="19"/>
              </w:rPr>
              <w:t>Reassure team that CSMs will not be overwhelmed by false alarms.</w:t>
            </w:r>
          </w:p>
        </w:tc>
      </w:tr>
      <w:tr w:rsidR="00672932" w14:paraId="4A97F7BD" w14:textId="77777777">
        <w:trPr>
          <w:jc w:val="center"/>
        </w:trPr>
        <w:tc>
          <w:tcPr>
            <w:tcW w:w="864" w:type="dxa"/>
            <w:tcBorders>
              <w:top w:val="single" w:sz="4" w:space="0" w:color="E2E8F0"/>
              <w:bottom w:val="single" w:sz="4" w:space="0" w:color="CBD5E1"/>
            </w:tcBorders>
            <w:shd w:val="clear" w:color="auto" w:fill="F8FAFC"/>
            <w:tcMar>
              <w:top w:w="80" w:type="dxa"/>
              <w:left w:w="120" w:type="dxa"/>
              <w:bottom w:w="80" w:type="dxa"/>
              <w:right w:w="120" w:type="dxa"/>
            </w:tcMar>
          </w:tcPr>
          <w:p w14:paraId="513C2BF6" w14:textId="77777777" w:rsidR="00672932" w:rsidRDefault="00000000">
            <w:pPr>
              <w:spacing w:after="0"/>
            </w:pPr>
            <w:r>
              <w:rPr>
                <w:rFonts w:ascii="Calibri" w:hAnsi="Calibri"/>
                <w:color w:val="2D3748"/>
                <w:sz w:val="19"/>
              </w:rPr>
              <w:t>Slide 8</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0C6F68A4" w14:textId="77777777" w:rsidR="00672932" w:rsidRDefault="00000000">
            <w:pPr>
              <w:spacing w:after="0"/>
            </w:pPr>
            <w:r>
              <w:rPr>
                <w:rFonts w:ascii="Calibri" w:hAnsi="Calibri"/>
                <w:color w:val="2D3748"/>
                <w:sz w:val="19"/>
              </w:rPr>
              <w:t>Economic ROI &amp; Net Revenue Frontier</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290E211D" w14:textId="77777777" w:rsidR="00672932" w:rsidRDefault="00000000">
            <w:pPr>
              <w:spacing w:after="0"/>
            </w:pPr>
            <w:r>
              <w:rPr>
                <w:rFonts w:ascii="Calibri" w:hAnsi="Calibri"/>
                <w:color w:val="2D3748"/>
                <w:sz w:val="19"/>
              </w:rPr>
              <w:t>Figure 4B: Net Revenue Optimization Curve</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1E191E98" w14:textId="77777777" w:rsidR="00672932" w:rsidRDefault="00000000">
            <w:pPr>
              <w:spacing w:after="0"/>
            </w:pPr>
            <w:r>
              <w:rPr>
                <w:rFonts w:ascii="Calibri" w:hAnsi="Calibri"/>
                <w:color w:val="2D3748"/>
                <w:sz w:val="19"/>
              </w:rPr>
              <w:t>Optimal targeting of top 22% yields $4.22M net preserved ARR (4.6x ROI).</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44B76484" w14:textId="77777777" w:rsidR="00672932" w:rsidRDefault="00000000">
            <w:pPr>
              <w:spacing w:after="0"/>
            </w:pPr>
            <w:r>
              <w:rPr>
                <w:rFonts w:ascii="Calibri" w:hAnsi="Calibri"/>
                <w:color w:val="2D3748"/>
                <w:sz w:val="19"/>
              </w:rPr>
              <w:t>Highlight financial sweet spot where marginal savings exceed intervention costs.</w:t>
            </w:r>
          </w:p>
        </w:tc>
      </w:tr>
      <w:tr w:rsidR="00672932" w14:paraId="62F45D08" w14:textId="77777777">
        <w:trPr>
          <w:jc w:val="center"/>
        </w:trPr>
        <w:tc>
          <w:tcPr>
            <w:tcW w:w="864" w:type="dxa"/>
            <w:tcBorders>
              <w:top w:val="single" w:sz="4" w:space="0" w:color="E2E8F0"/>
              <w:bottom w:val="single" w:sz="4" w:space="0" w:color="CBD5E1"/>
            </w:tcBorders>
            <w:shd w:val="clear" w:color="auto" w:fill="FFFFFF"/>
            <w:tcMar>
              <w:top w:w="80" w:type="dxa"/>
              <w:left w:w="120" w:type="dxa"/>
              <w:bottom w:w="80" w:type="dxa"/>
              <w:right w:w="120" w:type="dxa"/>
            </w:tcMar>
          </w:tcPr>
          <w:p w14:paraId="4307FB0E" w14:textId="77777777" w:rsidR="00672932" w:rsidRDefault="00000000">
            <w:pPr>
              <w:spacing w:after="0"/>
            </w:pPr>
            <w:r>
              <w:rPr>
                <w:rFonts w:ascii="Calibri" w:hAnsi="Calibri"/>
                <w:color w:val="2D3748"/>
                <w:sz w:val="19"/>
              </w:rPr>
              <w:t>Slide 9</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2437296B" w14:textId="77777777" w:rsidR="00672932" w:rsidRDefault="00000000">
            <w:pPr>
              <w:spacing w:after="0"/>
            </w:pPr>
            <w:r>
              <w:rPr>
                <w:rFonts w:ascii="Calibri" w:hAnsi="Calibri"/>
                <w:color w:val="2D3748"/>
                <w:sz w:val="19"/>
              </w:rPr>
              <w:t>The Actionable Retention Playbook</w:t>
            </w:r>
          </w:p>
        </w:tc>
        <w:tc>
          <w:tcPr>
            <w:tcW w:w="2016" w:type="dxa"/>
            <w:tcBorders>
              <w:top w:val="single" w:sz="4" w:space="0" w:color="E2E8F0"/>
              <w:bottom w:val="single" w:sz="4" w:space="0" w:color="CBD5E1"/>
            </w:tcBorders>
            <w:shd w:val="clear" w:color="auto" w:fill="FFFFFF"/>
            <w:tcMar>
              <w:top w:w="80" w:type="dxa"/>
              <w:left w:w="120" w:type="dxa"/>
              <w:bottom w:w="80" w:type="dxa"/>
              <w:right w:w="120" w:type="dxa"/>
            </w:tcMar>
          </w:tcPr>
          <w:p w14:paraId="733CC5D6" w14:textId="77777777" w:rsidR="00672932" w:rsidRDefault="00000000">
            <w:pPr>
              <w:spacing w:after="0"/>
            </w:pPr>
            <w:r>
              <w:rPr>
                <w:rFonts w:ascii="Calibri" w:hAnsi="Calibri"/>
                <w:color w:val="2D3748"/>
                <w:sz w:val="19"/>
              </w:rPr>
              <w:t>Role-specific Action Matrix (Enterprise vs SMB workflows)</w:t>
            </w:r>
          </w:p>
        </w:tc>
        <w:tc>
          <w:tcPr>
            <w:tcW w:w="2304" w:type="dxa"/>
            <w:tcBorders>
              <w:top w:val="single" w:sz="4" w:space="0" w:color="E2E8F0"/>
              <w:bottom w:val="single" w:sz="4" w:space="0" w:color="CBD5E1"/>
            </w:tcBorders>
            <w:shd w:val="clear" w:color="auto" w:fill="FFFFFF"/>
            <w:tcMar>
              <w:top w:w="80" w:type="dxa"/>
              <w:left w:w="120" w:type="dxa"/>
              <w:bottom w:w="80" w:type="dxa"/>
              <w:right w:w="120" w:type="dxa"/>
            </w:tcMar>
          </w:tcPr>
          <w:p w14:paraId="7D7E8605" w14:textId="77777777" w:rsidR="00672932" w:rsidRDefault="00000000">
            <w:pPr>
              <w:spacing w:after="0"/>
            </w:pPr>
            <w:r>
              <w:rPr>
                <w:rFonts w:ascii="Calibri" w:hAnsi="Calibri"/>
                <w:color w:val="2D3748"/>
                <w:sz w:val="19"/>
              </w:rPr>
              <w:t>Clear, automated workflows ensure immediate cross-functional action.</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79E86194" w14:textId="77777777" w:rsidR="00672932" w:rsidRDefault="00000000">
            <w:pPr>
              <w:spacing w:after="0"/>
            </w:pPr>
            <w:r>
              <w:rPr>
                <w:rFonts w:ascii="Calibri" w:hAnsi="Calibri"/>
                <w:color w:val="2D3748"/>
                <w:sz w:val="19"/>
              </w:rPr>
              <w:t>Show how predictions translate directly into Salesforce tasks for CSMs.</w:t>
            </w:r>
          </w:p>
        </w:tc>
      </w:tr>
      <w:tr w:rsidR="00672932" w14:paraId="7E37BCF6" w14:textId="77777777">
        <w:trPr>
          <w:jc w:val="center"/>
        </w:trPr>
        <w:tc>
          <w:tcPr>
            <w:tcW w:w="864" w:type="dxa"/>
            <w:tcBorders>
              <w:top w:val="single" w:sz="4" w:space="0" w:color="E2E8F0"/>
              <w:bottom w:val="single" w:sz="4" w:space="0" w:color="CBD5E1"/>
            </w:tcBorders>
            <w:shd w:val="clear" w:color="auto" w:fill="F8FAFC"/>
            <w:tcMar>
              <w:top w:w="80" w:type="dxa"/>
              <w:left w:w="120" w:type="dxa"/>
              <w:bottom w:w="80" w:type="dxa"/>
              <w:right w:w="120" w:type="dxa"/>
            </w:tcMar>
          </w:tcPr>
          <w:p w14:paraId="53A1D5E5" w14:textId="77777777" w:rsidR="00672932" w:rsidRDefault="00000000">
            <w:pPr>
              <w:spacing w:after="0"/>
            </w:pPr>
            <w:r>
              <w:rPr>
                <w:rFonts w:ascii="Calibri" w:hAnsi="Calibri"/>
                <w:color w:val="2D3748"/>
                <w:sz w:val="19"/>
              </w:rPr>
              <w:t>Slide 10</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029791CE" w14:textId="77777777" w:rsidR="00672932" w:rsidRDefault="00000000">
            <w:pPr>
              <w:spacing w:after="0"/>
            </w:pPr>
            <w:r>
              <w:rPr>
                <w:rFonts w:ascii="Calibri" w:hAnsi="Calibri"/>
                <w:color w:val="2D3748"/>
                <w:sz w:val="19"/>
              </w:rPr>
              <w:t>Roadmap, Governance &amp; Next Steps</w:t>
            </w:r>
          </w:p>
        </w:tc>
        <w:tc>
          <w:tcPr>
            <w:tcW w:w="2016" w:type="dxa"/>
            <w:tcBorders>
              <w:top w:val="single" w:sz="4" w:space="0" w:color="E2E8F0"/>
              <w:bottom w:val="single" w:sz="4" w:space="0" w:color="CBD5E1"/>
            </w:tcBorders>
            <w:shd w:val="clear" w:color="auto" w:fill="F8FAFC"/>
            <w:tcMar>
              <w:top w:w="80" w:type="dxa"/>
              <w:left w:w="120" w:type="dxa"/>
              <w:bottom w:w="80" w:type="dxa"/>
              <w:right w:w="120" w:type="dxa"/>
            </w:tcMar>
          </w:tcPr>
          <w:p w14:paraId="0BC136A0" w14:textId="77777777" w:rsidR="00672932" w:rsidRDefault="00000000">
            <w:pPr>
              <w:spacing w:after="0"/>
            </w:pPr>
            <w:r>
              <w:rPr>
                <w:rFonts w:ascii="Calibri" w:hAnsi="Calibri"/>
                <w:color w:val="2D3748"/>
                <w:sz w:val="19"/>
              </w:rPr>
              <w:t>30-60-90 Day Phased Execution Gantt Chart</w:t>
            </w:r>
          </w:p>
        </w:tc>
        <w:tc>
          <w:tcPr>
            <w:tcW w:w="2304" w:type="dxa"/>
            <w:tcBorders>
              <w:top w:val="single" w:sz="4" w:space="0" w:color="E2E8F0"/>
              <w:bottom w:val="single" w:sz="4" w:space="0" w:color="CBD5E1"/>
            </w:tcBorders>
            <w:shd w:val="clear" w:color="auto" w:fill="F8FAFC"/>
            <w:tcMar>
              <w:top w:w="80" w:type="dxa"/>
              <w:left w:w="120" w:type="dxa"/>
              <w:bottom w:w="80" w:type="dxa"/>
              <w:right w:w="120" w:type="dxa"/>
            </w:tcMar>
          </w:tcPr>
          <w:p w14:paraId="0E5940BE" w14:textId="77777777" w:rsidR="00672932" w:rsidRDefault="00000000">
            <w:pPr>
              <w:spacing w:after="0"/>
            </w:pPr>
            <w:r>
              <w:rPr>
                <w:rFonts w:ascii="Calibri" w:hAnsi="Calibri"/>
                <w:color w:val="2D3748"/>
                <w:sz w:val="19"/>
              </w:rPr>
              <w:t>3-stage rollout: Shadow mode -&gt; 60-day pilot -&gt; Full enterprise operationalization.</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11156E5E" w14:textId="77777777" w:rsidR="00672932" w:rsidRDefault="00000000">
            <w:pPr>
              <w:spacing w:after="0"/>
            </w:pPr>
            <w:r>
              <w:rPr>
                <w:rFonts w:ascii="Calibri" w:hAnsi="Calibri"/>
                <w:color w:val="2D3748"/>
                <w:sz w:val="19"/>
              </w:rPr>
              <w:t>Call to action: Request steering committee approval to launch Phase 1 Pilot.</w:t>
            </w:r>
          </w:p>
        </w:tc>
      </w:tr>
    </w:tbl>
    <w:p w14:paraId="3B592363" w14:textId="77777777" w:rsidR="00672932" w:rsidRDefault="00672932">
      <w:pPr>
        <w:spacing w:after="120"/>
      </w:pPr>
    </w:p>
    <w:p w14:paraId="65AF727E" w14:textId="77777777" w:rsidR="00672932" w:rsidRDefault="00000000">
      <w:pPr>
        <w:pStyle w:val="Heading2"/>
        <w:spacing w:before="240" w:after="80"/>
      </w:pPr>
      <w:r>
        <w:rPr>
          <w:rFonts w:ascii="Calibri" w:hAnsi="Calibri"/>
          <w:color w:val="006699"/>
          <w:sz w:val="28"/>
        </w:rPr>
        <w:t>5.4 Executive FAQ &amp; Objection Handling Matrix</w:t>
      </w:r>
    </w:p>
    <w:p w14:paraId="16C82A56" w14:textId="77777777" w:rsidR="00672932" w:rsidRDefault="00000000">
      <w:pPr>
        <w:spacing w:after="120"/>
      </w:pPr>
      <w:r>
        <w:rPr>
          <w:rFonts w:ascii="Calibri" w:hAnsi="Calibri"/>
          <w:color w:val="2D3748"/>
          <w:sz w:val="21"/>
        </w:rPr>
        <w:t>Anticipating tough questions from skeptical C-suite leaders is essential to winning project approval:</w:t>
      </w:r>
    </w:p>
    <w:tbl>
      <w:tblPr>
        <w:tblW w:w="0" w:type="auto"/>
        <w:jc w:val="center"/>
        <w:tblLayout w:type="fixed"/>
        <w:tblLook w:val="04A0" w:firstRow="1" w:lastRow="0" w:firstColumn="1" w:lastColumn="0" w:noHBand="0" w:noVBand="1"/>
      </w:tblPr>
      <w:tblGrid>
        <w:gridCol w:w="2592"/>
        <w:gridCol w:w="1440"/>
        <w:gridCol w:w="5328"/>
      </w:tblGrid>
      <w:tr w:rsidR="00672932" w14:paraId="1C922F1F" w14:textId="77777777">
        <w:trPr>
          <w:jc w:val="center"/>
        </w:trPr>
        <w:tc>
          <w:tcPr>
            <w:tcW w:w="2592" w:type="dxa"/>
            <w:tcBorders>
              <w:top w:val="single" w:sz="4" w:space="0" w:color="E2E8F0"/>
              <w:bottom w:val="single" w:sz="4" w:space="0" w:color="CBD5E1"/>
            </w:tcBorders>
            <w:shd w:val="clear" w:color="auto" w:fill="1B365D"/>
            <w:tcMar>
              <w:top w:w="100" w:type="dxa"/>
              <w:left w:w="120" w:type="dxa"/>
              <w:bottom w:w="100" w:type="dxa"/>
              <w:right w:w="120" w:type="dxa"/>
            </w:tcMar>
          </w:tcPr>
          <w:p w14:paraId="180CE190" w14:textId="77777777" w:rsidR="00672932" w:rsidRDefault="00000000">
            <w:pPr>
              <w:spacing w:after="0"/>
            </w:pPr>
            <w:r>
              <w:rPr>
                <w:rFonts w:ascii="Calibri" w:hAnsi="Calibri"/>
                <w:b/>
                <w:color w:val="FFFFFF"/>
                <w:sz w:val="20"/>
              </w:rPr>
              <w:t>Anticipated Executive Question</w:t>
            </w:r>
          </w:p>
        </w:tc>
        <w:tc>
          <w:tcPr>
            <w:tcW w:w="1440" w:type="dxa"/>
            <w:tcBorders>
              <w:top w:val="single" w:sz="4" w:space="0" w:color="E2E8F0"/>
              <w:bottom w:val="single" w:sz="4" w:space="0" w:color="CBD5E1"/>
            </w:tcBorders>
            <w:shd w:val="clear" w:color="auto" w:fill="1B365D"/>
            <w:tcMar>
              <w:top w:w="100" w:type="dxa"/>
              <w:left w:w="120" w:type="dxa"/>
              <w:bottom w:w="100" w:type="dxa"/>
              <w:right w:w="120" w:type="dxa"/>
            </w:tcMar>
          </w:tcPr>
          <w:p w14:paraId="41360D41" w14:textId="77777777" w:rsidR="00672932" w:rsidRDefault="00000000">
            <w:pPr>
              <w:spacing w:after="0"/>
            </w:pPr>
            <w:r>
              <w:rPr>
                <w:rFonts w:ascii="Calibri" w:hAnsi="Calibri"/>
                <w:b/>
                <w:color w:val="FFFFFF"/>
                <w:sz w:val="20"/>
              </w:rPr>
              <w:t>Stakeholder</w:t>
            </w:r>
          </w:p>
        </w:tc>
        <w:tc>
          <w:tcPr>
            <w:tcW w:w="5328" w:type="dxa"/>
            <w:tcBorders>
              <w:top w:val="single" w:sz="4" w:space="0" w:color="E2E8F0"/>
              <w:bottom w:val="single" w:sz="4" w:space="0" w:color="CBD5E1"/>
            </w:tcBorders>
            <w:shd w:val="clear" w:color="auto" w:fill="1B365D"/>
            <w:tcMar>
              <w:top w:w="100" w:type="dxa"/>
              <w:left w:w="120" w:type="dxa"/>
              <w:bottom w:w="100" w:type="dxa"/>
              <w:right w:w="120" w:type="dxa"/>
            </w:tcMar>
          </w:tcPr>
          <w:p w14:paraId="51A75C71" w14:textId="77777777" w:rsidR="00672932" w:rsidRDefault="00000000">
            <w:pPr>
              <w:spacing w:after="0"/>
            </w:pPr>
            <w:r>
              <w:rPr>
                <w:rFonts w:ascii="Calibri" w:hAnsi="Calibri"/>
                <w:b/>
                <w:color w:val="FFFFFF"/>
                <w:sz w:val="20"/>
              </w:rPr>
              <w:t>Data Science &amp; Strategic Response</w:t>
            </w:r>
          </w:p>
        </w:tc>
      </w:tr>
      <w:tr w:rsidR="00672932" w14:paraId="37187180"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2F268A76" w14:textId="77777777" w:rsidR="00672932" w:rsidRDefault="00000000">
            <w:pPr>
              <w:spacing w:after="0"/>
            </w:pPr>
            <w:r>
              <w:rPr>
                <w:rFonts w:ascii="Calibri" w:hAnsi="Calibri"/>
                <w:color w:val="2D3748"/>
                <w:sz w:val="19"/>
              </w:rPr>
              <w:t>'How do we know the model isn't just flagging accounts that were already going to churn regardless?'</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749A8E4E" w14:textId="77777777" w:rsidR="00672932" w:rsidRDefault="00000000">
            <w:pPr>
              <w:spacing w:after="0"/>
            </w:pPr>
            <w:r>
              <w:rPr>
                <w:rFonts w:ascii="Calibri" w:hAnsi="Calibri"/>
                <w:color w:val="2D3748"/>
                <w:sz w:val="19"/>
              </w:rPr>
              <w:t>CFO</w:t>
            </w:r>
          </w:p>
        </w:tc>
        <w:tc>
          <w:tcPr>
            <w:tcW w:w="5328" w:type="dxa"/>
            <w:tcBorders>
              <w:top w:val="single" w:sz="4" w:space="0" w:color="E2E8F0"/>
              <w:bottom w:val="single" w:sz="4" w:space="0" w:color="CBD5E1"/>
            </w:tcBorders>
            <w:shd w:val="clear" w:color="auto" w:fill="FFFFFF"/>
            <w:tcMar>
              <w:top w:w="80" w:type="dxa"/>
              <w:left w:w="120" w:type="dxa"/>
              <w:bottom w:w="80" w:type="dxa"/>
              <w:right w:w="120" w:type="dxa"/>
            </w:tcMar>
          </w:tcPr>
          <w:p w14:paraId="68524470" w14:textId="77777777" w:rsidR="00672932" w:rsidRDefault="00000000">
            <w:pPr>
              <w:spacing w:after="0"/>
            </w:pPr>
            <w:r>
              <w:rPr>
                <w:rFonts w:ascii="Calibri" w:hAnsi="Calibri"/>
                <w:color w:val="2D3748"/>
                <w:sz w:val="19"/>
              </w:rPr>
              <w:t>The model assigns risk scores based on leading indicators (e.g. 30-day seat decay, login velocity) 60-90 days prior to contract expiration—months before renewal teams traditionally notice disengagement. In validation testing, early intervention on these signals altered the trajectory of 35% of accounts.</w:t>
            </w:r>
          </w:p>
        </w:tc>
      </w:tr>
      <w:tr w:rsidR="00672932" w14:paraId="749220C0"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3FC71C28" w14:textId="77777777" w:rsidR="00672932" w:rsidRDefault="00000000">
            <w:pPr>
              <w:spacing w:after="0"/>
            </w:pPr>
            <w:r>
              <w:rPr>
                <w:rFonts w:ascii="Calibri" w:hAnsi="Calibri"/>
                <w:color w:val="2D3748"/>
                <w:sz w:val="19"/>
              </w:rPr>
              <w:t>'What is the cost of false positives? Will CSMs waste time chasing healthy clients?'</w:t>
            </w:r>
          </w:p>
        </w:tc>
        <w:tc>
          <w:tcPr>
            <w:tcW w:w="1440" w:type="dxa"/>
            <w:tcBorders>
              <w:top w:val="single" w:sz="4" w:space="0" w:color="E2E8F0"/>
              <w:bottom w:val="single" w:sz="4" w:space="0" w:color="CBD5E1"/>
            </w:tcBorders>
            <w:shd w:val="clear" w:color="auto" w:fill="F8FAFC"/>
            <w:tcMar>
              <w:top w:w="80" w:type="dxa"/>
              <w:left w:w="120" w:type="dxa"/>
              <w:bottom w:w="80" w:type="dxa"/>
              <w:right w:w="120" w:type="dxa"/>
            </w:tcMar>
          </w:tcPr>
          <w:p w14:paraId="54901082" w14:textId="77777777" w:rsidR="00672932" w:rsidRDefault="00000000">
            <w:pPr>
              <w:spacing w:after="0"/>
            </w:pPr>
            <w:r>
              <w:rPr>
                <w:rFonts w:ascii="Calibri" w:hAnsi="Calibri"/>
                <w:color w:val="2D3748"/>
                <w:sz w:val="19"/>
              </w:rPr>
              <w:t>VP CS</w:t>
            </w:r>
          </w:p>
        </w:tc>
        <w:tc>
          <w:tcPr>
            <w:tcW w:w="5328" w:type="dxa"/>
            <w:tcBorders>
              <w:top w:val="single" w:sz="4" w:space="0" w:color="E2E8F0"/>
              <w:bottom w:val="single" w:sz="4" w:space="0" w:color="CBD5E1"/>
            </w:tcBorders>
            <w:shd w:val="clear" w:color="auto" w:fill="F8FAFC"/>
            <w:tcMar>
              <w:top w:w="80" w:type="dxa"/>
              <w:left w:w="120" w:type="dxa"/>
              <w:bottom w:w="80" w:type="dxa"/>
              <w:right w:w="120" w:type="dxa"/>
            </w:tcMar>
          </w:tcPr>
          <w:p w14:paraId="35D62D3C" w14:textId="77777777" w:rsidR="00672932" w:rsidRDefault="00000000">
            <w:pPr>
              <w:spacing w:after="0"/>
            </w:pPr>
            <w:r>
              <w:rPr>
                <w:rFonts w:ascii="Calibri" w:hAnsi="Calibri"/>
                <w:color w:val="2D3748"/>
                <w:sz w:val="19"/>
              </w:rPr>
              <w:t>At our optimal operating threshold (Top 22%), precision is 78.2%. Even in the remaining 21.8% of cases, accounts flagged exhibit genuine friction (e.g., lower feature usage or open tickets). Outreach to these accounts acts as a proactive relationship check, improving CSAT even if churn wasn't imminent.</w:t>
            </w:r>
          </w:p>
        </w:tc>
      </w:tr>
      <w:tr w:rsidR="00672932" w14:paraId="2A7A127A"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24FF4A4E" w14:textId="77777777" w:rsidR="00672932" w:rsidRDefault="00000000">
            <w:pPr>
              <w:spacing w:after="0"/>
            </w:pPr>
            <w:r>
              <w:rPr>
                <w:rFonts w:ascii="Calibri" w:hAnsi="Calibri"/>
                <w:color w:val="2D3748"/>
                <w:sz w:val="19"/>
              </w:rPr>
              <w:t>'Why not just use simple heuristics like 'login count &lt; 5' instead of complex machine learning?'</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70D2632E" w14:textId="77777777" w:rsidR="00672932" w:rsidRDefault="00000000">
            <w:pPr>
              <w:spacing w:after="0"/>
            </w:pPr>
            <w:r>
              <w:rPr>
                <w:rFonts w:ascii="Calibri" w:hAnsi="Calibri"/>
                <w:color w:val="2D3748"/>
                <w:sz w:val="19"/>
              </w:rPr>
              <w:t>VP Product</w:t>
            </w:r>
          </w:p>
        </w:tc>
        <w:tc>
          <w:tcPr>
            <w:tcW w:w="5328" w:type="dxa"/>
            <w:tcBorders>
              <w:top w:val="single" w:sz="4" w:space="0" w:color="E2E8F0"/>
              <w:bottom w:val="single" w:sz="4" w:space="0" w:color="CBD5E1"/>
            </w:tcBorders>
            <w:shd w:val="clear" w:color="auto" w:fill="FFFFFF"/>
            <w:tcMar>
              <w:top w:w="80" w:type="dxa"/>
              <w:left w:w="120" w:type="dxa"/>
              <w:bottom w:w="80" w:type="dxa"/>
              <w:right w:w="120" w:type="dxa"/>
            </w:tcMar>
          </w:tcPr>
          <w:p w14:paraId="5233DB8A" w14:textId="77777777" w:rsidR="00672932" w:rsidRDefault="00000000">
            <w:pPr>
              <w:spacing w:after="0"/>
            </w:pPr>
            <w:r>
              <w:rPr>
                <w:rFonts w:ascii="Calibri" w:hAnsi="Calibri"/>
                <w:color w:val="2D3748"/>
                <w:sz w:val="19"/>
              </w:rPr>
              <w:t>Rule-based heuristics produce high false positive rates (48% error rate in historical audit) and fail to capture multi-variable interactions (e.g., an account with high logins but 3 Sev-1 escalations and decaying admin engagement). The ensemble model achieves a 3.67x lift over simple rules.</w:t>
            </w:r>
          </w:p>
        </w:tc>
      </w:tr>
      <w:tr w:rsidR="00672932" w14:paraId="132CC4D9"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2823A7E4" w14:textId="77777777" w:rsidR="00672932" w:rsidRDefault="00000000">
            <w:pPr>
              <w:spacing w:after="0"/>
            </w:pPr>
            <w:r>
              <w:rPr>
                <w:rFonts w:ascii="Calibri" w:hAnsi="Calibri"/>
                <w:color w:val="2D3748"/>
                <w:sz w:val="19"/>
              </w:rPr>
              <w:t>'How will we ensure the model doesn't become outdated as customer behavior changes?'</w:t>
            </w:r>
          </w:p>
        </w:tc>
        <w:tc>
          <w:tcPr>
            <w:tcW w:w="1440" w:type="dxa"/>
            <w:tcBorders>
              <w:top w:val="single" w:sz="4" w:space="0" w:color="E2E8F0"/>
              <w:bottom w:val="single" w:sz="4" w:space="0" w:color="CBD5E1"/>
            </w:tcBorders>
            <w:shd w:val="clear" w:color="auto" w:fill="F8FAFC"/>
            <w:tcMar>
              <w:top w:w="80" w:type="dxa"/>
              <w:left w:w="120" w:type="dxa"/>
              <w:bottom w:w="80" w:type="dxa"/>
              <w:right w:w="120" w:type="dxa"/>
            </w:tcMar>
          </w:tcPr>
          <w:p w14:paraId="7AEC99EF" w14:textId="77777777" w:rsidR="00672932" w:rsidRDefault="00000000">
            <w:pPr>
              <w:spacing w:after="0"/>
            </w:pPr>
            <w:r>
              <w:rPr>
                <w:rFonts w:ascii="Calibri" w:hAnsi="Calibri"/>
                <w:color w:val="2D3748"/>
                <w:sz w:val="19"/>
              </w:rPr>
              <w:t>CTO</w:t>
            </w:r>
          </w:p>
        </w:tc>
        <w:tc>
          <w:tcPr>
            <w:tcW w:w="5328" w:type="dxa"/>
            <w:tcBorders>
              <w:top w:val="single" w:sz="4" w:space="0" w:color="E2E8F0"/>
              <w:bottom w:val="single" w:sz="4" w:space="0" w:color="CBD5E1"/>
            </w:tcBorders>
            <w:shd w:val="clear" w:color="auto" w:fill="F8FAFC"/>
            <w:tcMar>
              <w:top w:w="80" w:type="dxa"/>
              <w:left w:w="120" w:type="dxa"/>
              <w:bottom w:w="80" w:type="dxa"/>
              <w:right w:w="120" w:type="dxa"/>
            </w:tcMar>
          </w:tcPr>
          <w:p w14:paraId="61DA6A4C" w14:textId="77777777" w:rsidR="00672932" w:rsidRDefault="00000000">
            <w:pPr>
              <w:spacing w:after="0"/>
            </w:pPr>
            <w:r>
              <w:rPr>
                <w:rFonts w:ascii="Calibri" w:hAnsi="Calibri"/>
                <w:color w:val="2D3748"/>
                <w:sz w:val="19"/>
              </w:rPr>
              <w:t>The MLOps pipeline includes automated drift monitoring tracking Population Stability Index (PSI) on features and weekly retraining pipelines. Any drift exceeding PSI &gt; 0.1 triggers automated alerts and shadow validation before production deployment.</w:t>
            </w:r>
          </w:p>
        </w:tc>
      </w:tr>
      <w:tr w:rsidR="00672932" w14:paraId="16007328" w14:textId="77777777">
        <w:trPr>
          <w:jc w:val="center"/>
        </w:trPr>
        <w:tc>
          <w:tcPr>
            <w:tcW w:w="2592" w:type="dxa"/>
            <w:tcBorders>
              <w:top w:val="single" w:sz="4" w:space="0" w:color="E2E8F0"/>
              <w:bottom w:val="single" w:sz="4" w:space="0" w:color="CBD5E1"/>
            </w:tcBorders>
            <w:shd w:val="clear" w:color="auto" w:fill="FFFFFF"/>
            <w:tcMar>
              <w:top w:w="80" w:type="dxa"/>
              <w:left w:w="120" w:type="dxa"/>
              <w:bottom w:w="80" w:type="dxa"/>
              <w:right w:w="120" w:type="dxa"/>
            </w:tcMar>
          </w:tcPr>
          <w:p w14:paraId="37886723" w14:textId="77777777" w:rsidR="00672932" w:rsidRDefault="00000000">
            <w:pPr>
              <w:spacing w:after="0"/>
            </w:pPr>
            <w:r>
              <w:rPr>
                <w:rFonts w:ascii="Calibri" w:hAnsi="Calibri"/>
                <w:color w:val="2D3748"/>
                <w:sz w:val="19"/>
              </w:rPr>
              <w:t>'Does the model account for seasonal budget cycles or macroeconomic slowdowns?'</w:t>
            </w:r>
          </w:p>
        </w:tc>
        <w:tc>
          <w:tcPr>
            <w:tcW w:w="1440" w:type="dxa"/>
            <w:tcBorders>
              <w:top w:val="single" w:sz="4" w:space="0" w:color="E2E8F0"/>
              <w:bottom w:val="single" w:sz="4" w:space="0" w:color="CBD5E1"/>
            </w:tcBorders>
            <w:shd w:val="clear" w:color="auto" w:fill="FFFFFF"/>
            <w:tcMar>
              <w:top w:w="80" w:type="dxa"/>
              <w:left w:w="120" w:type="dxa"/>
              <w:bottom w:w="80" w:type="dxa"/>
              <w:right w:w="120" w:type="dxa"/>
            </w:tcMar>
          </w:tcPr>
          <w:p w14:paraId="06E98D4C" w14:textId="77777777" w:rsidR="00672932" w:rsidRDefault="00000000">
            <w:pPr>
              <w:spacing w:after="0"/>
            </w:pPr>
            <w:r>
              <w:rPr>
                <w:rFonts w:ascii="Calibri" w:hAnsi="Calibri"/>
                <w:color w:val="2D3748"/>
                <w:sz w:val="19"/>
              </w:rPr>
              <w:t>CRO</w:t>
            </w:r>
          </w:p>
        </w:tc>
        <w:tc>
          <w:tcPr>
            <w:tcW w:w="5328" w:type="dxa"/>
            <w:tcBorders>
              <w:top w:val="single" w:sz="4" w:space="0" w:color="E2E8F0"/>
              <w:bottom w:val="single" w:sz="4" w:space="0" w:color="CBD5E1"/>
            </w:tcBorders>
            <w:shd w:val="clear" w:color="auto" w:fill="FFFFFF"/>
            <w:tcMar>
              <w:top w:w="80" w:type="dxa"/>
              <w:left w:w="120" w:type="dxa"/>
              <w:bottom w:w="80" w:type="dxa"/>
              <w:right w:w="120" w:type="dxa"/>
            </w:tcMar>
          </w:tcPr>
          <w:p w14:paraId="48DE5F72" w14:textId="77777777" w:rsidR="00672932" w:rsidRDefault="00000000">
            <w:pPr>
              <w:spacing w:after="0"/>
            </w:pPr>
            <w:r>
              <w:rPr>
                <w:rFonts w:ascii="Calibri" w:hAnsi="Calibri"/>
                <w:color w:val="2D3748"/>
                <w:sz w:val="19"/>
              </w:rPr>
              <w:t>Yes. The training dataset spans 24 continuous months, encompassing annual budget renewals, Q4 procurement rushes, and macroeconomic fluctuations. Macro-economic index features and calendar quarter indicators were explicitly incorporated.</w:t>
            </w:r>
          </w:p>
        </w:tc>
      </w:tr>
      <w:tr w:rsidR="00672932" w14:paraId="14D3D532" w14:textId="77777777">
        <w:trPr>
          <w:jc w:val="center"/>
        </w:trPr>
        <w:tc>
          <w:tcPr>
            <w:tcW w:w="2592" w:type="dxa"/>
            <w:tcBorders>
              <w:top w:val="single" w:sz="4" w:space="0" w:color="E2E8F0"/>
              <w:bottom w:val="single" w:sz="4" w:space="0" w:color="CBD5E1"/>
            </w:tcBorders>
            <w:shd w:val="clear" w:color="auto" w:fill="F8FAFC"/>
            <w:tcMar>
              <w:top w:w="80" w:type="dxa"/>
              <w:left w:w="120" w:type="dxa"/>
              <w:bottom w:w="80" w:type="dxa"/>
              <w:right w:w="120" w:type="dxa"/>
            </w:tcMar>
          </w:tcPr>
          <w:p w14:paraId="2A4E77BC" w14:textId="77777777" w:rsidR="00672932" w:rsidRDefault="00000000">
            <w:pPr>
              <w:spacing w:after="0"/>
            </w:pPr>
            <w:r>
              <w:rPr>
                <w:rFonts w:ascii="Calibri" w:hAnsi="Calibri"/>
                <w:color w:val="2D3748"/>
                <w:sz w:val="19"/>
              </w:rPr>
              <w:t>'What is the immediate investment required to launch Phase 1?'</w:t>
            </w:r>
          </w:p>
        </w:tc>
        <w:tc>
          <w:tcPr>
            <w:tcW w:w="1440" w:type="dxa"/>
            <w:tcBorders>
              <w:top w:val="single" w:sz="4" w:space="0" w:color="E2E8F0"/>
              <w:bottom w:val="single" w:sz="4" w:space="0" w:color="CBD5E1"/>
            </w:tcBorders>
            <w:shd w:val="clear" w:color="auto" w:fill="F8FAFC"/>
            <w:tcMar>
              <w:top w:w="80" w:type="dxa"/>
              <w:left w:w="120" w:type="dxa"/>
              <w:bottom w:w="80" w:type="dxa"/>
              <w:right w:w="120" w:type="dxa"/>
            </w:tcMar>
          </w:tcPr>
          <w:p w14:paraId="1F543599" w14:textId="77777777" w:rsidR="00672932" w:rsidRDefault="00000000">
            <w:pPr>
              <w:spacing w:after="0"/>
            </w:pPr>
            <w:r>
              <w:rPr>
                <w:rFonts w:ascii="Calibri" w:hAnsi="Calibri"/>
                <w:color w:val="2D3748"/>
                <w:sz w:val="19"/>
              </w:rPr>
              <w:t>CEO</w:t>
            </w:r>
          </w:p>
        </w:tc>
        <w:tc>
          <w:tcPr>
            <w:tcW w:w="5328" w:type="dxa"/>
            <w:tcBorders>
              <w:top w:val="single" w:sz="4" w:space="0" w:color="E2E8F0"/>
              <w:bottom w:val="single" w:sz="4" w:space="0" w:color="CBD5E1"/>
            </w:tcBorders>
            <w:shd w:val="clear" w:color="auto" w:fill="F8FAFC"/>
            <w:tcMar>
              <w:top w:w="80" w:type="dxa"/>
              <w:left w:w="120" w:type="dxa"/>
              <w:bottom w:w="80" w:type="dxa"/>
              <w:right w:w="120" w:type="dxa"/>
            </w:tcMar>
          </w:tcPr>
          <w:p w14:paraId="7C99014D" w14:textId="77777777" w:rsidR="00672932" w:rsidRDefault="00000000">
            <w:pPr>
              <w:spacing w:after="0"/>
            </w:pPr>
            <w:r>
              <w:rPr>
                <w:rFonts w:ascii="Calibri" w:hAnsi="Calibri"/>
                <w:color w:val="2D3748"/>
                <w:sz w:val="19"/>
              </w:rPr>
              <w:t>Phase 1 requires zero new software procurement. It utilizes existing infrastructure (AWS/Snowflake, Python, Salesforce API) and leverages current CSM capacity dedicated to a 60-day randomized control pilot across 200 accounts.</w:t>
            </w:r>
          </w:p>
        </w:tc>
      </w:tr>
    </w:tbl>
    <w:p w14:paraId="1DA69A23" w14:textId="77777777" w:rsidR="00672932" w:rsidRDefault="00672932">
      <w:pPr>
        <w:spacing w:after="120"/>
      </w:pPr>
    </w:p>
    <w:p w14:paraId="1B73E252" w14:textId="77777777" w:rsidR="00672932" w:rsidRDefault="00000000">
      <w:pPr>
        <w:pStyle w:val="Heading1"/>
        <w:spacing w:before="320" w:after="120"/>
      </w:pPr>
      <w:r>
        <w:rPr>
          <w:rFonts w:ascii="Calibri" w:hAnsi="Calibri"/>
          <w:color w:val="1B365D"/>
          <w:sz w:val="36"/>
        </w:rPr>
        <w:t>6. Recommendations, Operationalization &amp; Future Work</w:t>
      </w:r>
    </w:p>
    <w:p w14:paraId="47BE20B5" w14:textId="77777777" w:rsidR="00672932" w:rsidRDefault="00000000">
      <w:pPr>
        <w:spacing w:after="120"/>
      </w:pPr>
      <w:r>
        <w:rPr>
          <w:rFonts w:ascii="Calibri" w:hAnsi="Calibri"/>
          <w:color w:val="2D3748"/>
          <w:sz w:val="21"/>
        </w:rPr>
        <w:t>To realize the projected $4.22M net ARR retention impact, an operationalization plan spanning governance, phased deployment, and advanced analytical research is outlined below.</w:t>
      </w:r>
    </w:p>
    <w:p w14:paraId="63F98D14" w14:textId="77777777" w:rsidR="00672932" w:rsidRDefault="00000000">
      <w:pPr>
        <w:pStyle w:val="Heading2"/>
        <w:spacing w:before="240" w:after="80"/>
      </w:pPr>
      <w:r>
        <w:rPr>
          <w:rFonts w:ascii="Calibri" w:hAnsi="Calibri"/>
          <w:color w:val="006699"/>
          <w:sz w:val="28"/>
        </w:rPr>
        <w:t>6.1 Phased Implementation Roadmap (30-60-90 Day Execution)</w:t>
      </w:r>
    </w:p>
    <w:p w14:paraId="77A6237C" w14:textId="77777777" w:rsidR="00672932" w:rsidRDefault="00000000">
      <w:pPr>
        <w:spacing w:after="120"/>
      </w:pPr>
      <w:r>
        <w:rPr>
          <w:rFonts w:ascii="Calibri" w:hAnsi="Calibri"/>
          <w:color w:val="2D3748"/>
          <w:sz w:val="21"/>
        </w:rPr>
        <w:t>Deployment will execute in three sequential phases to mitigate operational risk:</w:t>
      </w:r>
    </w:p>
    <w:tbl>
      <w:tblPr>
        <w:tblW w:w="0" w:type="auto"/>
        <w:jc w:val="center"/>
        <w:tblLayout w:type="fixed"/>
        <w:tblLook w:val="04A0" w:firstRow="1" w:lastRow="0" w:firstColumn="1" w:lastColumn="0" w:noHBand="0" w:noVBand="1"/>
      </w:tblPr>
      <w:tblGrid>
        <w:gridCol w:w="2160"/>
        <w:gridCol w:w="3312"/>
        <w:gridCol w:w="2160"/>
        <w:gridCol w:w="1728"/>
      </w:tblGrid>
      <w:tr w:rsidR="00672932" w14:paraId="6405CEB3" w14:textId="77777777">
        <w:trPr>
          <w:jc w:val="center"/>
        </w:trPr>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3BAC497A" w14:textId="77777777" w:rsidR="00672932" w:rsidRDefault="00000000">
            <w:pPr>
              <w:spacing w:after="0"/>
            </w:pPr>
            <w:r>
              <w:rPr>
                <w:rFonts w:ascii="Calibri" w:hAnsi="Calibri"/>
                <w:b/>
                <w:color w:val="FFFFFF"/>
                <w:sz w:val="20"/>
              </w:rPr>
              <w:t>Phase &amp; Horizon</w:t>
            </w:r>
          </w:p>
        </w:tc>
        <w:tc>
          <w:tcPr>
            <w:tcW w:w="3312" w:type="dxa"/>
            <w:tcBorders>
              <w:top w:val="single" w:sz="4" w:space="0" w:color="E2E8F0"/>
              <w:bottom w:val="single" w:sz="4" w:space="0" w:color="CBD5E1"/>
            </w:tcBorders>
            <w:shd w:val="clear" w:color="auto" w:fill="1B365D"/>
            <w:tcMar>
              <w:top w:w="100" w:type="dxa"/>
              <w:left w:w="120" w:type="dxa"/>
              <w:bottom w:w="100" w:type="dxa"/>
              <w:right w:w="120" w:type="dxa"/>
            </w:tcMar>
          </w:tcPr>
          <w:p w14:paraId="5B8BA9DB" w14:textId="77777777" w:rsidR="00672932" w:rsidRDefault="00000000">
            <w:pPr>
              <w:spacing w:after="0"/>
            </w:pPr>
            <w:r>
              <w:rPr>
                <w:rFonts w:ascii="Calibri" w:hAnsi="Calibri"/>
                <w:b/>
                <w:color w:val="FFFFFF"/>
                <w:sz w:val="20"/>
              </w:rPr>
              <w:t>Key Milestones &amp; Deliverables</w:t>
            </w:r>
          </w:p>
        </w:tc>
        <w:tc>
          <w:tcPr>
            <w:tcW w:w="2160" w:type="dxa"/>
            <w:tcBorders>
              <w:top w:val="single" w:sz="4" w:space="0" w:color="E2E8F0"/>
              <w:bottom w:val="single" w:sz="4" w:space="0" w:color="CBD5E1"/>
            </w:tcBorders>
            <w:shd w:val="clear" w:color="auto" w:fill="1B365D"/>
            <w:tcMar>
              <w:top w:w="100" w:type="dxa"/>
              <w:left w:w="120" w:type="dxa"/>
              <w:bottom w:w="100" w:type="dxa"/>
              <w:right w:w="120" w:type="dxa"/>
            </w:tcMar>
          </w:tcPr>
          <w:p w14:paraId="18001CEA" w14:textId="77777777" w:rsidR="00672932" w:rsidRDefault="00000000">
            <w:pPr>
              <w:spacing w:after="0"/>
            </w:pPr>
            <w:r>
              <w:rPr>
                <w:rFonts w:ascii="Calibri" w:hAnsi="Calibri"/>
                <w:b/>
                <w:color w:val="FFFFFF"/>
                <w:sz w:val="20"/>
              </w:rPr>
              <w:t>Success Criteria &amp; Gating Metric</w:t>
            </w:r>
          </w:p>
        </w:tc>
        <w:tc>
          <w:tcPr>
            <w:tcW w:w="1728" w:type="dxa"/>
            <w:tcBorders>
              <w:top w:val="single" w:sz="4" w:space="0" w:color="E2E8F0"/>
              <w:bottom w:val="single" w:sz="4" w:space="0" w:color="CBD5E1"/>
            </w:tcBorders>
            <w:shd w:val="clear" w:color="auto" w:fill="1B365D"/>
            <w:tcMar>
              <w:top w:w="100" w:type="dxa"/>
              <w:left w:w="120" w:type="dxa"/>
              <w:bottom w:w="100" w:type="dxa"/>
              <w:right w:w="120" w:type="dxa"/>
            </w:tcMar>
          </w:tcPr>
          <w:p w14:paraId="5761F521" w14:textId="77777777" w:rsidR="00672932" w:rsidRDefault="00000000">
            <w:pPr>
              <w:spacing w:after="0"/>
            </w:pPr>
            <w:r>
              <w:rPr>
                <w:rFonts w:ascii="Calibri" w:hAnsi="Calibri"/>
                <w:b/>
                <w:color w:val="FFFFFF"/>
                <w:sz w:val="20"/>
              </w:rPr>
              <w:t>Responsible Team</w:t>
            </w:r>
          </w:p>
        </w:tc>
      </w:tr>
      <w:tr w:rsidR="00672932" w14:paraId="573ACDEE"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4DD78F74" w14:textId="77777777" w:rsidR="00672932" w:rsidRDefault="00000000">
            <w:pPr>
              <w:spacing w:after="0"/>
            </w:pPr>
            <w:r>
              <w:rPr>
                <w:rFonts w:ascii="Calibri" w:hAnsi="Calibri"/>
                <w:color w:val="2D3748"/>
                <w:sz w:val="19"/>
              </w:rPr>
              <w:t>Phase 1: Shadow Deployment (Days 1 - 30)</w:t>
            </w:r>
          </w:p>
        </w:tc>
        <w:tc>
          <w:tcPr>
            <w:tcW w:w="3312" w:type="dxa"/>
            <w:tcBorders>
              <w:top w:val="single" w:sz="4" w:space="0" w:color="E2E8F0"/>
              <w:bottom w:val="single" w:sz="4" w:space="0" w:color="CBD5E1"/>
            </w:tcBorders>
            <w:shd w:val="clear" w:color="auto" w:fill="FFFFFF"/>
            <w:tcMar>
              <w:top w:w="80" w:type="dxa"/>
              <w:left w:w="120" w:type="dxa"/>
              <w:bottom w:w="80" w:type="dxa"/>
              <w:right w:w="120" w:type="dxa"/>
            </w:tcMar>
          </w:tcPr>
          <w:p w14:paraId="61A73A98" w14:textId="77777777" w:rsidR="00672932" w:rsidRDefault="00000000">
            <w:pPr>
              <w:spacing w:after="0"/>
            </w:pPr>
            <w:r>
              <w:rPr>
                <w:rFonts w:ascii="Calibri" w:hAnsi="Calibri"/>
                <w:color w:val="2D3748"/>
                <w:sz w:val="19"/>
              </w:rPr>
              <w:t>Deploy XGBoost inference pipeline in shadow mode. Score all 50,000 accounts weekly. Integrate output schema into Snowflake data warehouse. Run daily telemetry drift checks.</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677FB0CF" w14:textId="77777777" w:rsidR="00672932" w:rsidRDefault="00000000">
            <w:pPr>
              <w:spacing w:after="0"/>
            </w:pPr>
            <w:r>
              <w:rPr>
                <w:rFonts w:ascii="Calibri" w:hAnsi="Calibri"/>
                <w:color w:val="2D3748"/>
                <w:sz w:val="19"/>
              </w:rPr>
              <w:t>Inference pipeline runtime &lt; 15 min; Data drift PSI &lt; 0.05; Zero interruption to live systems.</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28AEDC01" w14:textId="77777777" w:rsidR="00672932" w:rsidRDefault="00000000">
            <w:pPr>
              <w:spacing w:after="0"/>
            </w:pPr>
            <w:r>
              <w:rPr>
                <w:rFonts w:ascii="Calibri" w:hAnsi="Calibri"/>
                <w:color w:val="2D3748"/>
                <w:sz w:val="19"/>
              </w:rPr>
              <w:t>Data Engineering &amp; MLOps Team</w:t>
            </w:r>
          </w:p>
        </w:tc>
      </w:tr>
      <w:tr w:rsidR="00672932" w14:paraId="62553B04" w14:textId="77777777">
        <w:trPr>
          <w:jc w:val="center"/>
        </w:trPr>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05FB0CD0" w14:textId="77777777" w:rsidR="00672932" w:rsidRDefault="00000000">
            <w:pPr>
              <w:spacing w:after="0"/>
            </w:pPr>
            <w:r>
              <w:rPr>
                <w:rFonts w:ascii="Calibri" w:hAnsi="Calibri"/>
                <w:color w:val="2D3748"/>
                <w:sz w:val="19"/>
              </w:rPr>
              <w:t>Phase 2: Controlled A/B Pilot (Days 31 - 60)</w:t>
            </w:r>
          </w:p>
        </w:tc>
        <w:tc>
          <w:tcPr>
            <w:tcW w:w="3312" w:type="dxa"/>
            <w:tcBorders>
              <w:top w:val="single" w:sz="4" w:space="0" w:color="E2E8F0"/>
              <w:bottom w:val="single" w:sz="4" w:space="0" w:color="CBD5E1"/>
            </w:tcBorders>
            <w:shd w:val="clear" w:color="auto" w:fill="F8FAFC"/>
            <w:tcMar>
              <w:top w:w="80" w:type="dxa"/>
              <w:left w:w="120" w:type="dxa"/>
              <w:bottom w:w="80" w:type="dxa"/>
              <w:right w:w="120" w:type="dxa"/>
            </w:tcMar>
          </w:tcPr>
          <w:p w14:paraId="0B2749E1" w14:textId="77777777" w:rsidR="00672932" w:rsidRDefault="00000000">
            <w:pPr>
              <w:spacing w:after="0"/>
            </w:pPr>
            <w:r>
              <w:rPr>
                <w:rFonts w:ascii="Calibri" w:hAnsi="Calibri"/>
                <w:color w:val="2D3748"/>
                <w:sz w:val="19"/>
              </w:rPr>
              <w:t>Launch randomized control trial across 200 at-risk Mid-Market &amp; Enterprise accounts. Group A receives ML-triggered Tiered Retention Playbook; Group B follows standard reactive renewal process.</w:t>
            </w:r>
          </w:p>
        </w:tc>
        <w:tc>
          <w:tcPr>
            <w:tcW w:w="2160" w:type="dxa"/>
            <w:tcBorders>
              <w:top w:val="single" w:sz="4" w:space="0" w:color="E2E8F0"/>
              <w:bottom w:val="single" w:sz="4" w:space="0" w:color="CBD5E1"/>
            </w:tcBorders>
            <w:shd w:val="clear" w:color="auto" w:fill="F8FAFC"/>
            <w:tcMar>
              <w:top w:w="80" w:type="dxa"/>
              <w:left w:w="120" w:type="dxa"/>
              <w:bottom w:w="80" w:type="dxa"/>
              <w:right w:w="120" w:type="dxa"/>
            </w:tcMar>
          </w:tcPr>
          <w:p w14:paraId="7D49E6B2" w14:textId="77777777" w:rsidR="00672932" w:rsidRDefault="00000000">
            <w:pPr>
              <w:spacing w:after="0"/>
            </w:pPr>
            <w:r>
              <w:rPr>
                <w:rFonts w:ascii="Calibri" w:hAnsi="Calibri"/>
                <w:color w:val="2D3748"/>
                <w:sz w:val="19"/>
              </w:rPr>
              <w:t>Statistical significance (p &lt; 0.05) showing &gt;= 25% relative reduction in 60-day churn in Group A.</w:t>
            </w:r>
          </w:p>
        </w:tc>
        <w:tc>
          <w:tcPr>
            <w:tcW w:w="1728" w:type="dxa"/>
            <w:tcBorders>
              <w:top w:val="single" w:sz="4" w:space="0" w:color="E2E8F0"/>
              <w:bottom w:val="single" w:sz="4" w:space="0" w:color="CBD5E1"/>
            </w:tcBorders>
            <w:shd w:val="clear" w:color="auto" w:fill="F8FAFC"/>
            <w:tcMar>
              <w:top w:w="80" w:type="dxa"/>
              <w:left w:w="120" w:type="dxa"/>
              <w:bottom w:w="80" w:type="dxa"/>
              <w:right w:w="120" w:type="dxa"/>
            </w:tcMar>
          </w:tcPr>
          <w:p w14:paraId="17243014" w14:textId="77777777" w:rsidR="00672932" w:rsidRDefault="00000000">
            <w:pPr>
              <w:spacing w:after="0"/>
            </w:pPr>
            <w:r>
              <w:rPr>
                <w:rFonts w:ascii="Calibri" w:hAnsi="Calibri"/>
                <w:color w:val="2D3748"/>
                <w:sz w:val="19"/>
              </w:rPr>
              <w:t>VP Customer Success &amp; Lead Data Scientist</w:t>
            </w:r>
          </w:p>
        </w:tc>
      </w:tr>
      <w:tr w:rsidR="00672932" w14:paraId="5687BE7B" w14:textId="77777777">
        <w:trPr>
          <w:jc w:val="center"/>
        </w:trPr>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7AC5FACA" w14:textId="77777777" w:rsidR="00672932" w:rsidRDefault="00000000">
            <w:pPr>
              <w:spacing w:after="0"/>
            </w:pPr>
            <w:r>
              <w:rPr>
                <w:rFonts w:ascii="Calibri" w:hAnsi="Calibri"/>
                <w:color w:val="2D3748"/>
                <w:sz w:val="19"/>
              </w:rPr>
              <w:t>Phase 3: Enterprise Rollout (Days 61 - 90)</w:t>
            </w:r>
          </w:p>
        </w:tc>
        <w:tc>
          <w:tcPr>
            <w:tcW w:w="3312" w:type="dxa"/>
            <w:tcBorders>
              <w:top w:val="single" w:sz="4" w:space="0" w:color="E2E8F0"/>
              <w:bottom w:val="single" w:sz="4" w:space="0" w:color="CBD5E1"/>
            </w:tcBorders>
            <w:shd w:val="clear" w:color="auto" w:fill="FFFFFF"/>
            <w:tcMar>
              <w:top w:w="80" w:type="dxa"/>
              <w:left w:w="120" w:type="dxa"/>
              <w:bottom w:w="80" w:type="dxa"/>
              <w:right w:w="120" w:type="dxa"/>
            </w:tcMar>
          </w:tcPr>
          <w:p w14:paraId="18331EA2" w14:textId="77777777" w:rsidR="00672932" w:rsidRDefault="00000000">
            <w:pPr>
              <w:spacing w:after="0"/>
            </w:pPr>
            <w:r>
              <w:rPr>
                <w:rFonts w:ascii="Calibri" w:hAnsi="Calibri"/>
                <w:color w:val="2D3748"/>
                <w:sz w:val="19"/>
              </w:rPr>
              <w:t>Full CRM integration (Salesforce/HubSpot). Automated account risk badges and SHAP explainability widgets on CSM dashboards. Bi-weekly retention steering review.</w:t>
            </w:r>
          </w:p>
        </w:tc>
        <w:tc>
          <w:tcPr>
            <w:tcW w:w="2160" w:type="dxa"/>
            <w:tcBorders>
              <w:top w:val="single" w:sz="4" w:space="0" w:color="E2E8F0"/>
              <w:bottom w:val="single" w:sz="4" w:space="0" w:color="CBD5E1"/>
            </w:tcBorders>
            <w:shd w:val="clear" w:color="auto" w:fill="FFFFFF"/>
            <w:tcMar>
              <w:top w:w="80" w:type="dxa"/>
              <w:left w:w="120" w:type="dxa"/>
              <w:bottom w:w="80" w:type="dxa"/>
              <w:right w:w="120" w:type="dxa"/>
            </w:tcMar>
          </w:tcPr>
          <w:p w14:paraId="7C2ADB14" w14:textId="77777777" w:rsidR="00672932" w:rsidRDefault="00000000">
            <w:pPr>
              <w:spacing w:after="0"/>
            </w:pPr>
            <w:r>
              <w:rPr>
                <w:rFonts w:ascii="Calibri" w:hAnsi="Calibri"/>
                <w:color w:val="2D3748"/>
                <w:sz w:val="19"/>
              </w:rPr>
              <w:t>100% CSM onboarding; 90-day Net Revenue Retention tracking toward &gt; 108% target.</w:t>
            </w:r>
          </w:p>
        </w:tc>
        <w:tc>
          <w:tcPr>
            <w:tcW w:w="1728" w:type="dxa"/>
            <w:tcBorders>
              <w:top w:val="single" w:sz="4" w:space="0" w:color="E2E8F0"/>
              <w:bottom w:val="single" w:sz="4" w:space="0" w:color="CBD5E1"/>
            </w:tcBorders>
            <w:shd w:val="clear" w:color="auto" w:fill="FFFFFF"/>
            <w:tcMar>
              <w:top w:w="80" w:type="dxa"/>
              <w:left w:w="120" w:type="dxa"/>
              <w:bottom w:w="80" w:type="dxa"/>
              <w:right w:w="120" w:type="dxa"/>
            </w:tcMar>
          </w:tcPr>
          <w:p w14:paraId="1323913E" w14:textId="77777777" w:rsidR="00672932" w:rsidRDefault="00000000">
            <w:pPr>
              <w:spacing w:after="0"/>
            </w:pPr>
            <w:r>
              <w:rPr>
                <w:rFonts w:ascii="Calibri" w:hAnsi="Calibri"/>
                <w:color w:val="2D3748"/>
                <w:sz w:val="19"/>
              </w:rPr>
              <w:t>Executive Steering Committee &amp; CS Enablement</w:t>
            </w:r>
          </w:p>
        </w:tc>
      </w:tr>
    </w:tbl>
    <w:p w14:paraId="30A34F0C" w14:textId="77777777" w:rsidR="00672932" w:rsidRDefault="00672932">
      <w:pPr>
        <w:spacing w:after="120"/>
      </w:pPr>
    </w:p>
    <w:p w14:paraId="041C5B73" w14:textId="77777777" w:rsidR="00672932" w:rsidRDefault="00000000">
      <w:pPr>
        <w:pStyle w:val="Heading2"/>
        <w:spacing w:before="240" w:after="80"/>
      </w:pPr>
      <w:r>
        <w:rPr>
          <w:rFonts w:ascii="Calibri" w:hAnsi="Calibri"/>
          <w:color w:val="006699"/>
          <w:sz w:val="28"/>
        </w:rPr>
        <w:t>6.2 MLOps Architecture &amp; Model Governance Framework</w:t>
      </w:r>
    </w:p>
    <w:p w14:paraId="4EED0752" w14:textId="77777777" w:rsidR="00672932" w:rsidRDefault="00000000">
      <w:pPr>
        <w:spacing w:after="120"/>
      </w:pPr>
      <w:r>
        <w:rPr>
          <w:rFonts w:ascii="Calibri" w:hAnsi="Calibri"/>
          <w:color w:val="2D3748"/>
          <w:sz w:val="21"/>
        </w:rPr>
        <w:t>Long-term model reliability will be enforced through four operational governance pillars:</w:t>
      </w:r>
    </w:p>
    <w:p w14:paraId="763EA5A2" w14:textId="77777777" w:rsidR="00672932" w:rsidRDefault="00000000">
      <w:pPr>
        <w:spacing w:after="120"/>
      </w:pPr>
      <w:r>
        <w:rPr>
          <w:rFonts w:ascii="Calibri" w:hAnsi="Calibri"/>
          <w:color w:val="2D3748"/>
          <w:sz w:val="21"/>
        </w:rPr>
        <w:t>1. Automated Data &amp; Concept Drift Monitoring: Calculating Population Stability Index (PSI) and Kolmogorov-Smirnov (KS) statistics across input features every 7 days.</w:t>
      </w:r>
      <w:r>
        <w:rPr>
          <w:rFonts w:ascii="Calibri" w:hAnsi="Calibri"/>
          <w:color w:val="2D3748"/>
          <w:sz w:val="21"/>
        </w:rPr>
        <w:br/>
        <w:t>2. Retraining &amp; Continuous Learning Cadence: Automated monthly model retraining on rolling 24-month historical datasets with automated shadow validation gating before deployment.</w:t>
      </w:r>
      <w:r>
        <w:rPr>
          <w:rFonts w:ascii="Calibri" w:hAnsi="Calibri"/>
          <w:color w:val="2D3748"/>
          <w:sz w:val="21"/>
        </w:rPr>
        <w:br/>
        <w:t>3. Model Explainability &amp; Auditability: Storing individual prediction SHAP values and model version hashes in Snowflake for full audit compliance.</w:t>
      </w:r>
      <w:r>
        <w:rPr>
          <w:rFonts w:ascii="Calibri" w:hAnsi="Calibri"/>
          <w:color w:val="2D3748"/>
          <w:sz w:val="21"/>
        </w:rPr>
        <w:br/>
        <w:t>4. Feedback Loop Integration: Capturing CSM intervention outcomes (Saved, Discounted, Churned, False Positive) directly from Salesforce to enrich retraining labels.</w:t>
      </w:r>
    </w:p>
    <w:p w14:paraId="5C6537AE" w14:textId="77777777" w:rsidR="00672932" w:rsidRDefault="00000000">
      <w:pPr>
        <w:pStyle w:val="Heading2"/>
        <w:spacing w:before="240" w:after="80"/>
      </w:pPr>
      <w:r>
        <w:rPr>
          <w:rFonts w:ascii="Calibri" w:hAnsi="Calibri"/>
          <w:color w:val="006699"/>
          <w:sz w:val="28"/>
        </w:rPr>
        <w:t>6.3 Future Data Science Research Horizons</w:t>
      </w:r>
    </w:p>
    <w:p w14:paraId="3215E38E" w14:textId="77777777" w:rsidR="00672932" w:rsidRDefault="00000000">
      <w:pPr>
        <w:spacing w:after="120"/>
      </w:pPr>
      <w:r>
        <w:rPr>
          <w:rFonts w:ascii="Calibri" w:hAnsi="Calibri"/>
          <w:color w:val="2D3748"/>
          <w:sz w:val="21"/>
        </w:rPr>
        <w:t>Following successful production deployment of Project Horizon, three advanced research initiatives are recommended for subsequent quarters:</w:t>
      </w:r>
    </w:p>
    <w:p w14:paraId="0CC79428" w14:textId="77777777" w:rsidR="00672932" w:rsidRDefault="00000000">
      <w:pPr>
        <w:spacing w:after="120"/>
      </w:pPr>
      <w:r>
        <w:rPr>
          <w:rFonts w:ascii="Calibri" w:hAnsi="Calibri"/>
          <w:color w:val="2D3748"/>
          <w:sz w:val="21"/>
        </w:rPr>
        <w:t>• Prescriptive Uplift Modeling (Causal Machine Learning): Transitioning from predictive modeling ('Who will churn?') to causal uplift modeling ('Which specific intervention will change the outcome for this customer?'), utilizing Meta-Learners (T-Learners, X-Learners) to maximize intervention efficiency.</w:t>
      </w:r>
      <w:r>
        <w:rPr>
          <w:rFonts w:ascii="Calibri" w:hAnsi="Calibri"/>
          <w:color w:val="2D3748"/>
          <w:sz w:val="21"/>
        </w:rPr>
        <w:br/>
        <w:t>• Dynamic Price Elasticity &amp; Renewal Discount Optimization: Developing multi-armed bandit algorithms to recommend optimal renewal discount percentages based on account health and willingness to pay, avoiding unnecessary price concessions.</w:t>
      </w:r>
      <w:r>
        <w:rPr>
          <w:rFonts w:ascii="Calibri" w:hAnsi="Calibri"/>
          <w:color w:val="2D3748"/>
          <w:sz w:val="21"/>
        </w:rPr>
        <w:br/>
        <w:t>• Real-Time In-App Behavioral Event Stream Processing: Upgrading batch weekly inference to real-time event stream processing via Apache Flink, triggering immediate in-app nudges when high-friction drop-offs occur.</w:t>
      </w:r>
    </w:p>
    <w:sectPr w:rsidR="00672932"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03E16" w14:textId="77777777" w:rsidR="00B45EA7" w:rsidRDefault="00B45EA7">
      <w:pPr>
        <w:spacing w:after="0" w:line="240" w:lineRule="auto"/>
      </w:pPr>
      <w:r>
        <w:separator/>
      </w:r>
    </w:p>
  </w:endnote>
  <w:endnote w:type="continuationSeparator" w:id="0">
    <w:p w14:paraId="2179B80C" w14:textId="77777777" w:rsidR="00B45EA7" w:rsidRDefault="00B4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52B3" w14:textId="77777777" w:rsidR="00672932" w:rsidRDefault="00000000">
    <w:pPr>
      <w:pStyle w:val="Footer"/>
      <w:jc w:val="center"/>
    </w:pPr>
    <w:r>
      <w:rPr>
        <w:rFonts w:ascii="Calibri" w:hAnsi="Calibri"/>
        <w:color w:val="A0AEC0"/>
        <w:sz w:val="17"/>
      </w:rPr>
      <w:t xml:space="preserve">Confidential — Virtual Data Science Explorer Internship Program | </w:t>
    </w:r>
    <w:proofErr w:type="spellStart"/>
    <w:r>
      <w:rPr>
        <w:rFonts w:ascii="Calibri" w:hAnsi="Calibri"/>
        <w:color w:val="A0AEC0"/>
        <w:sz w:val="17"/>
      </w:rPr>
      <w:t>YuvaIntern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89E37" w14:textId="77777777" w:rsidR="00B45EA7" w:rsidRDefault="00B45EA7">
      <w:pPr>
        <w:spacing w:after="0" w:line="240" w:lineRule="auto"/>
      </w:pPr>
      <w:r>
        <w:separator/>
      </w:r>
    </w:p>
  </w:footnote>
  <w:footnote w:type="continuationSeparator" w:id="0">
    <w:p w14:paraId="6B7385A4" w14:textId="77777777" w:rsidR="00B45EA7" w:rsidRDefault="00B45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C4E5" w14:textId="77777777" w:rsidR="00672932" w:rsidRDefault="00000000">
    <w:pPr>
      <w:pStyle w:val="Header"/>
      <w:jc w:val="right"/>
    </w:pPr>
    <w:r>
      <w:rPr>
        <w:rFonts w:ascii="Calibri" w:hAnsi="Calibri"/>
        <w:color w:val="A0AEC0"/>
        <w:sz w:val="17"/>
      </w:rPr>
      <w:t>Project Horizon | Comprehensive Data Science &amp; Insights Presentation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338448">
    <w:abstractNumId w:val="8"/>
  </w:num>
  <w:num w:numId="2" w16cid:durableId="1618947984">
    <w:abstractNumId w:val="6"/>
  </w:num>
  <w:num w:numId="3" w16cid:durableId="1363089880">
    <w:abstractNumId w:val="5"/>
  </w:num>
  <w:num w:numId="4" w16cid:durableId="862859243">
    <w:abstractNumId w:val="4"/>
  </w:num>
  <w:num w:numId="5" w16cid:durableId="1372539441">
    <w:abstractNumId w:val="7"/>
  </w:num>
  <w:num w:numId="6" w16cid:durableId="822505478">
    <w:abstractNumId w:val="3"/>
  </w:num>
  <w:num w:numId="7" w16cid:durableId="208417995">
    <w:abstractNumId w:val="2"/>
  </w:num>
  <w:num w:numId="8" w16cid:durableId="1039473130">
    <w:abstractNumId w:val="1"/>
  </w:num>
  <w:num w:numId="9" w16cid:durableId="33588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41B"/>
    <w:rsid w:val="0029639D"/>
    <w:rsid w:val="00326F90"/>
    <w:rsid w:val="00672932"/>
    <w:rsid w:val="00AA1D8D"/>
    <w:rsid w:val="00B45EA7"/>
    <w:rsid w:val="00B47730"/>
    <w:rsid w:val="00BF0A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A1545"/>
  <w14:defaultImageDpi w14:val="300"/>
  <w15:docId w15:val="{8EF86CED-1D9D-4626-AEF0-B6CCA899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3726</Words>
  <Characters>21239</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1. Executive Summary</vt:lpstr>
      <vt:lpstr>2. Methodology Review</vt:lpstr>
      <vt:lpstr>    2.1 Data Ingestion, Synthesis &amp; Entity Unification</vt:lpstr>
      <vt:lpstr>    2.2 Feature Engineering &amp; Signal Extraction</vt:lpstr>
      <vt:lpstr>    2.3 Machine Learning Algorithm Benchmark &amp; Model Selection</vt:lpstr>
      <vt:lpstr>3. Findings, Statistical Insights &amp; Visualizations</vt:lpstr>
      <vt:lpstr>    3.1 Finding 1: The 'Onboarding Cliff' &amp; Feature Adoption Tipping Point</vt:lpstr>
      <vt:lpstr>    3.2 Finding 2: Multi-Dimensional Churn Predictors &amp; SHAP Feature Attribution</vt:lpstr>
      <vt:lpstr>    3.3 Finding 3: The Support Escalation &amp; Churn Probability Matrix</vt:lpstr>
      <vt:lpstr>    3.4 Finding 4: Cumulative Lift, Targeting Efficiency &amp; Economic Optimization Fro</vt:lpstr>
      <vt:lpstr>4. Actionable Insights &amp; Strategic Business Impact</vt:lpstr>
      <vt:lpstr>    4.1 Tiered Proactive Retention Playbook</vt:lpstr>
      <vt:lpstr>    4.2 Financial Sensitivity &amp; ROI Model</vt:lpstr>
      <vt:lpstr>5. Presentation &amp; Communication Strategy for Non-Technical Stakeholders</vt:lpstr>
      <vt:lpstr>    5.1 The Minto Pyramid Principle &amp; SCQA Storytelling Framework</vt:lpstr>
      <vt:lpstr>    5.2 Stakeholder Persona Alignment Matrix</vt:lpstr>
      <vt:lpstr>    5.3 Ten-Slide Executive Deck Architecture &amp; Blueprint</vt:lpstr>
      <vt:lpstr>    5.4 Executive FAQ &amp; Objection Handling Matrix</vt:lpstr>
      <vt:lpstr>6. Recommendations, Operationalization &amp; Future Work</vt:lpstr>
      <vt:lpstr>    6.1 Phased Implementation Roadmap (30-60-90 Day Execution)</vt:lpstr>
      <vt:lpstr>    6.2 MLOps Architecture &amp; Model Governance Framework</vt:lpstr>
      <vt:lpstr>    6.3 Future Data Science Research Horizons</vt:lpstr>
    </vt:vector>
  </TitlesOfParts>
  <Manager/>
  <Company/>
  <LinksUpToDate>false</LinksUpToDate>
  <CharactersWithSpaces>24916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 Kumar</cp:lastModifiedBy>
  <cp:revision>2</cp:revision>
  <dcterms:created xsi:type="dcterms:W3CDTF">2013-12-23T23:15:00Z</dcterms:created>
  <dcterms:modified xsi:type="dcterms:W3CDTF">2026-08-18T14:14:00Z</dcterms:modified>
  <cp:category/>
</cp:coreProperties>
</file>