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F261D" w14:textId="77777777" w:rsidR="002A739C" w:rsidRPr="00EA22C9" w:rsidRDefault="00056752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sz w:val="24"/>
          <w:szCs w:val="24"/>
        </w:rPr>
        <w:t>Я начал</w:t>
      </w:r>
      <w:r w:rsidR="00CC68A0" w:rsidRPr="00EA22C9">
        <w:rPr>
          <w:rFonts w:ascii="Times New Roman" w:hAnsi="Times New Roman" w:cs="Times New Roman"/>
          <w:sz w:val="24"/>
          <w:szCs w:val="24"/>
          <w:lang w:val="ru-RU"/>
        </w:rPr>
        <w:t xml:space="preserve">а </w:t>
      </w:r>
      <w:r w:rsidRPr="00EA22C9">
        <w:rPr>
          <w:rFonts w:ascii="Times New Roman" w:hAnsi="Times New Roman" w:cs="Times New Roman"/>
          <w:sz w:val="24"/>
          <w:szCs w:val="24"/>
        </w:rPr>
        <w:t xml:space="preserve">с загрузки трёх источников данных: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lots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trd_buy_filtered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contracts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, поскольку каждая таблица отвечает за отдельный этап процесса госзакупок: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lots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содержит информацию о плановой стоимости (через суммы лотов),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contracts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— итоговую контрактную сумму, а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trd_buy_filtered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используется для определения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treatment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групп, годов, регионов и других характеристик закупок. Затем я проверил структуру таблиц и ключевые поля, чтобы убедиться в корректности объединения: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lots.trd_buy_id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contracts.trd_buy_id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связываются с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trd_buy.trd_id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. После этого я агрегировал данные на уровне одной закупки, поскольку каждая закупка может включать несколько лотов и контрактов, и прямое объединение привело бы к дублированию строк и искажению расчётов. В результате я отдельно рассчитал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planned_sum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как сумму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по всем лотам внутри закупки и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contract_sum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как сумму всех контрактов по той же закупке. На основе этого был сформирован итоговый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buy-level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, где каждая строка соответствует одной закупке. В этом датасете я создал ключевые переменные для анализа: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treatment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, который показывает принадлежность закупки к группе воздействия (на основе территориальных характеристик),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trd_kato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, отражающий KATO-код и территориальную принадлежность, и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trd_total_sum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, представляющий общую сумму закупки из объявления. Далее были рассчитаны показатели экономии: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saving_rate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planned_sum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contract_sum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) /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planned_sum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, отражающий экономию на уровне лотов, и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trd_saving_rate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trd_total_sum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contract_sum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) /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trd_total_sum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>, который используется как основной показатель, поскольку напрямую сравнивает сумму закупки из объявления с итоговой контрактной суммой. Также была создана бинарная переменная dumping_15, фиксирующая случаи агрессивного снижения цены (экономия более 15%). Для учёта масштаба закупок и снижения влияния выбросов я применил</w:t>
      </w:r>
      <w:r w:rsidR="002A739C" w:rsidRPr="00EA22C9">
        <w:rPr>
          <w:rFonts w:ascii="Times New Roman" w:hAnsi="Times New Roman" w:cs="Times New Roman"/>
          <w:sz w:val="24"/>
          <w:szCs w:val="24"/>
        </w:rPr>
        <w:t>а</w:t>
      </w:r>
      <w:r w:rsidRPr="00EA22C9">
        <w:rPr>
          <w:rFonts w:ascii="Times New Roman" w:hAnsi="Times New Roman" w:cs="Times New Roman"/>
          <w:sz w:val="24"/>
          <w:szCs w:val="24"/>
        </w:rPr>
        <w:t xml:space="preserve"> логарифмическое преобразование к суммам (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log_planned_sum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log_trd_total_sum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), добавив единицу, чтобы избежать проблем с нулевыми значениями. Переменная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post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была введена для разделения периодов до и после реформы: если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fin_year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≥ 2018, то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post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= 1, иначе 0. После формирования датасета я провёл очистку данных: проверил пропуски, типы данных, дубликаты и распределение переменных, и обнаружил экстремальные значения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trd_saving_rate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(например, ниже -1), которые экономически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неинтерпретируемы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; поэтому я ограничил диапазон этой переменной от -1 до 1, чтобы избежать искажения результатов. Затем я построил основную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Difference-in-Differences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модель для гипотезы H2a, где зависимой переменной была экономия, а ключевым коэффициентом — взаимодействие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treatment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×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post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>; в модель были добавлены контроль за размером закупки (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log_trd_total_sum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) и региональные фиксированные эффекты, а стандартные ошибки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кластеризованы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по регионам. </w:t>
      </w:r>
    </w:p>
    <w:p w14:paraId="70B9C0CE" w14:textId="2F528FB0" w:rsidR="00056752" w:rsidRPr="00EA22C9" w:rsidRDefault="00056752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sz w:val="24"/>
          <w:szCs w:val="24"/>
        </w:rPr>
        <w:t xml:space="preserve">После этого я проверил устойчивость результатов, варьируя спецификации модели (добавление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n_lots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, исключение контролей, анализ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подвыборок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). Далее я перешёл к гипотезе H2b и построил логистическую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DiD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-модель для вероятности демпинга, где зависимой переменной был dumping_15; поскольку стандартный расчёт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marginal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effects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приводил к ошибке памяти, я рассчитал их вручную через предсказанные вероятности, что позволило интерпретировать эффект в процентных пунктах. После оценки моделей я проверил ключевые предпосылки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DiD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: построил графики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pre-trends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treatment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групп до реформы, провёл формальный тест на наличие различий до реформы, выполнил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placebo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с фиктивным годом реформы и проверил условие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common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support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, чтобы убедиться в сопоставимости групп. Для H2b дополнительно был применён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event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подход, где эффект реформы оценивался по каждому году относительно базового 2017 года; это показало, что эффект демпинга меняется во времени и уже до реформы наблюдаются статистически значимые различия, поэтому причинная интерпретация требует осторожности. В завершение я протестировал дополнительную идею с использованием </w:t>
      </w:r>
      <w:r w:rsidRPr="00EA22C9">
        <w:rPr>
          <w:rFonts w:ascii="Times New Roman" w:hAnsi="Times New Roman" w:cs="Times New Roman"/>
          <w:sz w:val="24"/>
          <w:szCs w:val="24"/>
        </w:rPr>
        <w:lastRenderedPageBreak/>
        <w:t>только данных контрактов, сравнивая контрактную и фактическую суммы, однако оказалось, что переменная исполнения (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execution_gap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) практически не варьируется (медиана равна нулю, перерасход встречается крайне редко), поэтому такой подход не даёт информативных результатов. В целом весь анализ был построен таким образом, чтобы не только оценить эффект реформы, но и проверить корректность данных, логики объединения, устойчивость моделей и выполнение ключевых предпосылок метода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Difference-in-Differences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>.</w:t>
      </w:r>
    </w:p>
    <w:p w14:paraId="559A7DFA" w14:textId="67FA9846" w:rsidR="006A1F71" w:rsidRPr="00EA22C9" w:rsidRDefault="00000489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8C07279" w14:textId="0676333D" w:rsidR="00000489" w:rsidRPr="00EA22C9" w:rsidRDefault="00000489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985005" wp14:editId="761C9F6D">
            <wp:extent cx="5940425" cy="724535"/>
            <wp:effectExtent l="0" t="0" r="3175" b="0"/>
            <wp:docPr id="190302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27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B19B" w14:textId="77777777" w:rsidR="00000489" w:rsidRPr="00EA22C9" w:rsidRDefault="00000489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sz w:val="24"/>
          <w:szCs w:val="24"/>
        </w:rPr>
        <w:t>Таблица представляет описательную статистику итогового датасета на уровне закупок. Всего в анализе используется около 487 тыс. наблюдений и 481 тыс. уникальных закупок, охватывающих период 2016–2022 гг. Средний уровень экономии составляет 13.1% по лотам (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mean_saving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>) и 11.5% по объявлению (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mean_trd_saving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>), что указывает на умеренную, но устойчивую экономию. Доля случаев демпинга (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dumping_rate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>) равна 36.8%, что означает, что более трети закупок сопровождаются значительным снижением цены.</w:t>
      </w:r>
    </w:p>
    <w:p w14:paraId="4CE03292" w14:textId="6FBE530E" w:rsidR="00000489" w:rsidRPr="00EA22C9" w:rsidRDefault="00000489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853918" wp14:editId="105AB271">
            <wp:extent cx="5250872" cy="5294653"/>
            <wp:effectExtent l="0" t="0" r="6985" b="1270"/>
            <wp:docPr id="18335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8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1729" cy="529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2D05" w14:textId="77777777" w:rsidR="00000489" w:rsidRPr="00EA22C9" w:rsidRDefault="00000489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sz w:val="24"/>
          <w:szCs w:val="24"/>
        </w:rPr>
        <w:lastRenderedPageBreak/>
        <w:t xml:space="preserve">Результаты OLS-регрессии показывают, что ключевой коэффициент взаимодействия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treatment:post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не является статистически значимым (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coef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= -0.0090, p = 0.488), что означает отсутствие доказательств влияния реформы на уровень экономии. Переменная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post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имеет отрицательный и значимый эффект (p = 0.011), указывая на общее снижение экономии после реформы, однако этот эффект одинаков для обеих групп. Переменная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treatment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положительна и значима (p = 0.010), что говорит о том, что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treatment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>-группа в среднем имела более высокий уровень экономии до реформы. В целом модель имеет очень низкий объясняющий потенциал (R² ≈ 0), что указывает на высокую вариативность данных и ограниченную предсказательную силу модели.</w:t>
      </w:r>
    </w:p>
    <w:p w14:paraId="749F3393" w14:textId="77777777" w:rsidR="00000489" w:rsidRPr="00EA22C9" w:rsidRDefault="00000489" w:rsidP="00EA22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DCF0D1" w14:textId="43CE3C11" w:rsidR="00000489" w:rsidRPr="00EA22C9" w:rsidRDefault="00000489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476A519E" wp14:editId="2655D127">
                <wp:extent cx="304800" cy="304800"/>
                <wp:effectExtent l="0" t="0" r="0" b="0"/>
                <wp:docPr id="1569074345" name="Rectangle 1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B233B7" id="Rectangle 1" o:spid="_x0000_s1026" alt="Загруженное изображени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A22C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207E7581" wp14:editId="151BAAB4">
                <wp:extent cx="304800" cy="304800"/>
                <wp:effectExtent l="0" t="0" r="0" b="0"/>
                <wp:docPr id="220675688" name="Rectangle 2" descr="Загружен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212DC9" id="Rectangle 2" o:spid="_x0000_s1026" alt="Загруженное изображени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A22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2856E6" wp14:editId="09314FC7">
            <wp:extent cx="5304790" cy="5274609"/>
            <wp:effectExtent l="0" t="0" r="0" b="2540"/>
            <wp:docPr id="173544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48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5382" cy="5295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4010" w14:textId="77777777" w:rsidR="00000489" w:rsidRPr="00EA22C9" w:rsidRDefault="00000489" w:rsidP="00EA22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FB8808" w14:textId="77777777" w:rsidR="00000489" w:rsidRPr="00EA22C9" w:rsidRDefault="00000489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sz w:val="24"/>
          <w:szCs w:val="24"/>
        </w:rPr>
        <w:t xml:space="preserve">В расширенной модели с добавлением годовых и региональных фиксированных эффектов ключевой коэффициент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treatment:post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остаётся статистически незначимым (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coef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= -0.0116, p = 0.365), что подтверждает отсутствие эффекта реформы на уровень экономии. Переменная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post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остаётся отрицательной и значимой (p = 0.004), указывая на общее снижение экономии после 2018 года для всех закупок. Коэффициент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treatment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положительный и значимый (p = 0.010), что говорит о систематически более высокой экономии в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treatment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-группе до реформы. Несмотря на добавление контролей, объясняющая </w:t>
      </w:r>
      <w:r w:rsidRPr="00EA22C9">
        <w:rPr>
          <w:rFonts w:ascii="Times New Roman" w:hAnsi="Times New Roman" w:cs="Times New Roman"/>
          <w:sz w:val="24"/>
          <w:szCs w:val="24"/>
        </w:rPr>
        <w:lastRenderedPageBreak/>
        <w:t>способность модели остаётся крайне низкой (R² ≈ 0.002), что указывает на наличие других факторов, не учтённых в модели.</w:t>
      </w:r>
    </w:p>
    <w:p w14:paraId="46801768" w14:textId="740E1E4D" w:rsidR="00000489" w:rsidRPr="00EA22C9" w:rsidRDefault="0089134F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AD66E2" wp14:editId="2C6EC1EF">
            <wp:extent cx="5940425" cy="3418205"/>
            <wp:effectExtent l="0" t="0" r="3175" b="0"/>
            <wp:docPr id="135068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82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489" w:rsidRPr="00EA22C9">
        <w:rPr>
          <w:rFonts w:ascii="Times New Roman" w:hAnsi="Times New Roman" w:cs="Times New Roman"/>
          <w:sz w:val="24"/>
          <w:szCs w:val="24"/>
        </w:rPr>
        <w:t xml:space="preserve">График распределения </w:t>
      </w:r>
      <w:proofErr w:type="spellStart"/>
      <w:r w:rsidR="00000489" w:rsidRPr="00EA22C9">
        <w:rPr>
          <w:rFonts w:ascii="Times New Roman" w:hAnsi="Times New Roman" w:cs="Times New Roman"/>
          <w:sz w:val="24"/>
          <w:szCs w:val="24"/>
        </w:rPr>
        <w:t>trd_saving_rate</w:t>
      </w:r>
      <w:proofErr w:type="spellEnd"/>
      <w:r w:rsidR="00000489" w:rsidRPr="00EA22C9">
        <w:rPr>
          <w:rFonts w:ascii="Times New Roman" w:hAnsi="Times New Roman" w:cs="Times New Roman"/>
          <w:sz w:val="24"/>
          <w:szCs w:val="24"/>
        </w:rPr>
        <w:t xml:space="preserve"> показывает сильную асимметрию и наличие экстремальных выбросов, особенно в отрицательной области (значения вплоть до -700). Основная масса наблюдений сосредоточена в диапазоне от 0 до 0.4, однако присутствие таких экстремальных значений указывает на ошибки данных или аномальные случаи, которые могут существенно искажать результаты регрессии. Это обосновывает необходимость очистки данных и ограничения переменной экономии разумным диапазоном.</w:t>
      </w:r>
    </w:p>
    <w:p w14:paraId="0C40547D" w14:textId="3B200962" w:rsidR="00000489" w:rsidRPr="00EA22C9" w:rsidRDefault="0089134F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14D99B" wp14:editId="688FE08C">
            <wp:extent cx="5940425" cy="3303270"/>
            <wp:effectExtent l="0" t="0" r="3175" b="0"/>
            <wp:docPr id="38772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25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C842" w14:textId="77777777" w:rsidR="0089134F" w:rsidRPr="00EA22C9" w:rsidRDefault="0089134F" w:rsidP="00EA22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7911CF" w14:textId="77777777" w:rsidR="0089134F" w:rsidRPr="00EA22C9" w:rsidRDefault="0089134F" w:rsidP="00EA22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3DA719" w14:textId="77777777" w:rsidR="0089134F" w:rsidRPr="00EA22C9" w:rsidRDefault="0089134F" w:rsidP="00EA22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760551" w14:textId="41AD0FA3" w:rsidR="0089134F" w:rsidRPr="00EA22C9" w:rsidRDefault="0089134F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sz w:val="24"/>
          <w:szCs w:val="24"/>
        </w:rPr>
        <w:t xml:space="preserve">График очищенного распределения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trd_saving_rate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показывает, что после удаления экстремальных выбросов переменная принимает экономически интерпретируемые значения в диапазоне от </w:t>
      </w:r>
      <w:r w:rsidRPr="00EA22C9">
        <w:rPr>
          <w:rFonts w:ascii="Times New Roman" w:hAnsi="Times New Roman" w:cs="Times New Roman"/>
          <w:b/>
          <w:bCs/>
          <w:sz w:val="24"/>
          <w:szCs w:val="24"/>
        </w:rPr>
        <w:t>-1 до 1</w:t>
      </w:r>
      <w:r w:rsidRPr="00EA22C9">
        <w:rPr>
          <w:rFonts w:ascii="Times New Roman" w:hAnsi="Times New Roman" w:cs="Times New Roman"/>
          <w:sz w:val="24"/>
          <w:szCs w:val="24"/>
        </w:rPr>
        <w:t>. Основная масса наблюдений сосредоточена в положительной области (примерно от 0 до 0.3), что соответствует ранее рассчитанной средней экономии около 11–13%. Распределение остаётся асимметричным с длинными “хвостами”, однако больше не содержит аномальных значений, способных искажать регрессионные оценки, что делает датасет пригодным для дальнейшего анализа.</w:t>
      </w:r>
    </w:p>
    <w:p w14:paraId="6F45F16B" w14:textId="70C9D050" w:rsidR="0089134F" w:rsidRPr="00EA22C9" w:rsidRDefault="0089134F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4985ED" wp14:editId="36615204">
            <wp:extent cx="5467350" cy="5855997"/>
            <wp:effectExtent l="0" t="0" r="0" b="0"/>
            <wp:docPr id="193828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80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3094" cy="586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130B" w14:textId="77777777" w:rsidR="0089134F" w:rsidRPr="00EA22C9" w:rsidRDefault="0089134F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sz w:val="24"/>
          <w:szCs w:val="24"/>
        </w:rPr>
        <w:t xml:space="preserve">В модели после очистки данных ключевой коэффициент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treatment:post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остаётся статистически незначимым (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coef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= -0.0072, p = 0.357), что подтверждает отсутствие эффекта реформы на уровень экономии. Переменная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post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имеет отрицательный и значимый эффект (p = 0.004), указывая на общее снижение экономии после реформы для всех закупок. Коэффициент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treatment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остаётся положительным и значимым (p = 0.022), что говорит о более высокой экономии в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treatment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-группе до реформы. Переменная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log_trd_total_sum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отрицательная и значимая (p &lt; 0.001), что означает, что более крупные закупки связаны с меньшей относительной экономией. Несмотря на улучшение данных, объясняющая </w:t>
      </w:r>
      <w:r w:rsidRPr="00EA22C9">
        <w:rPr>
          <w:rFonts w:ascii="Times New Roman" w:hAnsi="Times New Roman" w:cs="Times New Roman"/>
          <w:sz w:val="24"/>
          <w:szCs w:val="24"/>
        </w:rPr>
        <w:lastRenderedPageBreak/>
        <w:t>способность модели остаётся низкой (R² ≈ 0.013), однако оценки становятся более стабильными и интерпретируемыми.</w:t>
      </w:r>
    </w:p>
    <w:p w14:paraId="2EAD540C" w14:textId="77777777" w:rsidR="0089134F" w:rsidRPr="00EA22C9" w:rsidRDefault="0089134F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2F2DD3" wp14:editId="372CF941">
            <wp:extent cx="4292600" cy="1609725"/>
            <wp:effectExtent l="0" t="0" r="0" b="9525"/>
            <wp:docPr id="14701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2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1AF2" w14:textId="77777777" w:rsidR="0089134F" w:rsidRPr="00EA22C9" w:rsidRDefault="0089134F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sz w:val="24"/>
          <w:szCs w:val="24"/>
        </w:rPr>
        <w:t xml:space="preserve">Таблица VIF показывает наличие </w:t>
      </w:r>
      <w:r w:rsidRPr="00EA22C9">
        <w:rPr>
          <w:rFonts w:ascii="Times New Roman" w:hAnsi="Times New Roman" w:cs="Times New Roman"/>
          <w:b/>
          <w:bCs/>
          <w:sz w:val="24"/>
          <w:szCs w:val="24"/>
        </w:rPr>
        <w:t xml:space="preserve">сильной </w:t>
      </w:r>
      <w:proofErr w:type="spellStart"/>
      <w:r w:rsidRPr="00EA22C9">
        <w:rPr>
          <w:rFonts w:ascii="Times New Roman" w:hAnsi="Times New Roman" w:cs="Times New Roman"/>
          <w:b/>
          <w:bCs/>
          <w:sz w:val="24"/>
          <w:szCs w:val="24"/>
        </w:rPr>
        <w:t>мультиколлинеарности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между объясняющими переменными: значения VIF для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treatment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post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log_trd_total_sum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и особенно их взаимодействия превышают </w:t>
      </w:r>
      <w:r w:rsidRPr="00EA22C9">
        <w:rPr>
          <w:rFonts w:ascii="Times New Roman" w:hAnsi="Times New Roman" w:cs="Times New Roman"/>
          <w:b/>
          <w:bCs/>
          <w:sz w:val="24"/>
          <w:szCs w:val="24"/>
        </w:rPr>
        <w:t>25–38</w:t>
      </w:r>
      <w:r w:rsidRPr="00EA22C9">
        <w:rPr>
          <w:rFonts w:ascii="Times New Roman" w:hAnsi="Times New Roman" w:cs="Times New Roman"/>
          <w:sz w:val="24"/>
          <w:szCs w:val="24"/>
        </w:rPr>
        <w:t xml:space="preserve">, что значительно выше стандартного порога (≈10). Это означает, что переменные сильно коррелированы между собой, что может приводить к нестабильности коэффициентов и завышенным стандартным ошибкам. Такая ситуация типична для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DiD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-моделей из-за включения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interaction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>-терма, однако её необходимо учитывать при интерпретации результатов.</w:t>
      </w:r>
    </w:p>
    <w:p w14:paraId="276ABEA5" w14:textId="1015A69F" w:rsidR="0089134F" w:rsidRPr="00EA22C9" w:rsidRDefault="0089134F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D2BBD6" wp14:editId="187CFFF9">
            <wp:extent cx="3295650" cy="1257300"/>
            <wp:effectExtent l="0" t="0" r="0" b="0"/>
            <wp:docPr id="154975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56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65B0" w14:textId="63026F41" w:rsidR="0089134F" w:rsidRPr="00EA22C9" w:rsidRDefault="0089134F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sz w:val="24"/>
          <w:szCs w:val="24"/>
        </w:rPr>
        <w:t xml:space="preserve">Матрица корреляции показывает, что между переменными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log_trd_total_sum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n_lots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наблюдается </w:t>
      </w:r>
      <w:r w:rsidRPr="00EA22C9">
        <w:rPr>
          <w:rFonts w:ascii="Times New Roman" w:hAnsi="Times New Roman" w:cs="Times New Roman"/>
          <w:b/>
          <w:bCs/>
          <w:sz w:val="24"/>
          <w:szCs w:val="24"/>
        </w:rPr>
        <w:t>низкая положительная связь (≈ 0.15)</w:t>
      </w:r>
      <w:r w:rsidRPr="00EA22C9">
        <w:rPr>
          <w:rFonts w:ascii="Times New Roman" w:hAnsi="Times New Roman" w:cs="Times New Roman"/>
          <w:sz w:val="24"/>
          <w:szCs w:val="24"/>
        </w:rPr>
        <w:t xml:space="preserve">, что свидетельствует об отсутствии сильной линейной зависимости между ними. Это означает, что включение обеих переменных в модель не создаёт проблемы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мультиколлинеарности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>, и они могут одновременно использоваться как контролирующие факторы.</w:t>
      </w:r>
    </w:p>
    <w:p w14:paraId="2D5D14E5" w14:textId="377EFB60" w:rsidR="0089134F" w:rsidRPr="00EA22C9" w:rsidRDefault="0089134F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38E6045" wp14:editId="3EA3B646">
            <wp:extent cx="5061585" cy="3888576"/>
            <wp:effectExtent l="0" t="0" r="5715" b="0"/>
            <wp:docPr id="107534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45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4322" cy="390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2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7E724F" wp14:editId="3E167501">
            <wp:extent cx="5061977" cy="3095625"/>
            <wp:effectExtent l="0" t="0" r="5715" b="0"/>
            <wp:docPr id="21062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1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2911" cy="309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AC79" w14:textId="77777777" w:rsidR="0089134F" w:rsidRPr="00EA22C9" w:rsidRDefault="0089134F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sz w:val="24"/>
          <w:szCs w:val="24"/>
        </w:rPr>
        <w:t xml:space="preserve">Результаты формального теста и графика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pre-trends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показывают, что до реформы тренды не являются полностью параллельными. Коэффициент взаимодействия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treatment:year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имеет пограничную значимость (p ≈ 0.073), что указывает на возможные различия в динамике до реформы. Это подтверждается графически: обе группы демонстрируют снижение экономии с 2016 по 2017 год, однако наклон у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-группы более резкий, чем у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treatment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. Таким образом, предпосылка </w:t>
      </w:r>
      <w:proofErr w:type="spellStart"/>
      <w:r w:rsidRPr="00EA22C9">
        <w:rPr>
          <w:rFonts w:ascii="Times New Roman" w:hAnsi="Times New Roman" w:cs="Times New Roman"/>
          <w:b/>
          <w:bCs/>
          <w:sz w:val="24"/>
          <w:szCs w:val="24"/>
        </w:rPr>
        <w:t>parallel</w:t>
      </w:r>
      <w:proofErr w:type="spellEnd"/>
      <w:r w:rsidRPr="00EA22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22C9">
        <w:rPr>
          <w:rFonts w:ascii="Times New Roman" w:hAnsi="Times New Roman" w:cs="Times New Roman"/>
          <w:b/>
          <w:bCs/>
          <w:sz w:val="24"/>
          <w:szCs w:val="24"/>
        </w:rPr>
        <w:t>trends</w:t>
      </w:r>
      <w:proofErr w:type="spellEnd"/>
      <w:r w:rsidRPr="00EA22C9">
        <w:rPr>
          <w:rFonts w:ascii="Times New Roman" w:hAnsi="Times New Roman" w:cs="Times New Roman"/>
          <w:b/>
          <w:bCs/>
          <w:sz w:val="24"/>
          <w:szCs w:val="24"/>
        </w:rPr>
        <w:t xml:space="preserve"> выполняется не идеально</w:t>
      </w:r>
      <w:r w:rsidRPr="00EA22C9">
        <w:rPr>
          <w:rFonts w:ascii="Times New Roman" w:hAnsi="Times New Roman" w:cs="Times New Roman"/>
          <w:sz w:val="24"/>
          <w:szCs w:val="24"/>
        </w:rPr>
        <w:t xml:space="preserve">, что снижает силу причинной интерпретации результатов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DiD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и требует дополнительной осторожности при выводах.</w:t>
      </w:r>
    </w:p>
    <w:p w14:paraId="05C2B0AD" w14:textId="77777777" w:rsidR="0089134F" w:rsidRPr="00EA22C9" w:rsidRDefault="0089134F" w:rsidP="00EA22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F2255E" w14:textId="77777777" w:rsidR="0089134F" w:rsidRPr="00EA22C9" w:rsidRDefault="0089134F" w:rsidP="00EA22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1062A0" w14:textId="01D4602C" w:rsidR="0089134F" w:rsidRPr="00EA22C9" w:rsidRDefault="0089134F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7A2B29" wp14:editId="487FFBDF">
            <wp:extent cx="5940425" cy="5382895"/>
            <wp:effectExtent l="0" t="0" r="3175" b="8255"/>
            <wp:docPr id="187167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735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8909" w14:textId="77777777" w:rsidR="0089134F" w:rsidRPr="00EA22C9" w:rsidRDefault="0089134F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sz w:val="24"/>
          <w:szCs w:val="24"/>
        </w:rPr>
        <w:t xml:space="preserve">Результаты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placebo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-теста показывают, что коэффициент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treatment:fake_post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не является статистически значимым (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coef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= 0.0040, p = 0.574), что означает отсутствие «ложного эффекта» до фактической реформы. Это важный результат, так как он поддерживает валидность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DiD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-подхода: если бы эффект появлялся до реформы, это указывало бы на проблему в дизайне. При этом переменная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fake_post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сама по себе значима и отрицательна (p &lt; 0.001), отражая общий тренд снижения экономии, но не дифференциальный эффект между группами. Таким образом,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placebo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-тест подтверждает, что выявленные ранее результаты не являются артефактом модели, а связаны именно с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постреформенным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периодом.</w:t>
      </w:r>
    </w:p>
    <w:p w14:paraId="1A319D65" w14:textId="77777777" w:rsidR="0089134F" w:rsidRPr="00EA22C9" w:rsidRDefault="0089134F" w:rsidP="00EA22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01E0E0" w14:textId="1D4B792A" w:rsidR="0089134F" w:rsidRPr="00EA22C9" w:rsidRDefault="0089134F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740603" wp14:editId="548B0FA1">
            <wp:extent cx="5940425" cy="3805555"/>
            <wp:effectExtent l="0" t="0" r="3175" b="4445"/>
            <wp:docPr id="205892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296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CD36" w14:textId="77777777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sz w:val="24"/>
          <w:szCs w:val="24"/>
        </w:rPr>
        <w:t xml:space="preserve">График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common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support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показывает, что распределения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log_trd_total_sum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treatment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групп практически полностью перекрываются. Обе плотности имеют схожую форму и центр (около 5–6), без значительных различий в хвостах. Это свидетельствует о выполнении условия </w:t>
      </w:r>
      <w:proofErr w:type="spellStart"/>
      <w:r w:rsidRPr="00EA22C9">
        <w:rPr>
          <w:rFonts w:ascii="Times New Roman" w:hAnsi="Times New Roman" w:cs="Times New Roman"/>
          <w:b/>
          <w:bCs/>
          <w:sz w:val="24"/>
          <w:szCs w:val="24"/>
        </w:rPr>
        <w:t>common</w:t>
      </w:r>
      <w:proofErr w:type="spellEnd"/>
      <w:r w:rsidRPr="00EA22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22C9">
        <w:rPr>
          <w:rFonts w:ascii="Times New Roman" w:hAnsi="Times New Roman" w:cs="Times New Roman"/>
          <w:b/>
          <w:bCs/>
          <w:sz w:val="24"/>
          <w:szCs w:val="24"/>
        </w:rPr>
        <w:t>support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, то есть группы сопоставимы по размеру закупок, и сравнение между ними в рамках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DiD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является корректным.</w:t>
      </w:r>
    </w:p>
    <w:p w14:paraId="449E519C" w14:textId="77777777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FBE45B" w14:textId="557C5493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C5756E" wp14:editId="3B36B143">
            <wp:extent cx="3448050" cy="866775"/>
            <wp:effectExtent l="0" t="0" r="0" b="9525"/>
            <wp:docPr id="84088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818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BADA" w14:textId="77777777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sz w:val="24"/>
          <w:szCs w:val="24"/>
        </w:rPr>
        <w:t xml:space="preserve">Таблица показывает средние значения ключевых переменных по группам.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Treatment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>-группа имеет немного более высокий уровень экономии (</w:t>
      </w:r>
      <w:r w:rsidRPr="00EA22C9">
        <w:rPr>
          <w:rFonts w:ascii="Times New Roman" w:hAnsi="Times New Roman" w:cs="Times New Roman"/>
          <w:b/>
          <w:bCs/>
          <w:sz w:val="24"/>
          <w:szCs w:val="24"/>
        </w:rPr>
        <w:t xml:space="preserve">0.131 </w:t>
      </w:r>
      <w:proofErr w:type="spellStart"/>
      <w:r w:rsidRPr="00EA22C9">
        <w:rPr>
          <w:rFonts w:ascii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EA22C9">
        <w:rPr>
          <w:rFonts w:ascii="Times New Roman" w:hAnsi="Times New Roman" w:cs="Times New Roman"/>
          <w:b/>
          <w:bCs/>
          <w:sz w:val="24"/>
          <w:szCs w:val="24"/>
        </w:rPr>
        <w:t xml:space="preserve"> 0.105</w:t>
      </w:r>
      <w:r w:rsidRPr="00EA22C9">
        <w:rPr>
          <w:rFonts w:ascii="Times New Roman" w:hAnsi="Times New Roman" w:cs="Times New Roman"/>
          <w:sz w:val="24"/>
          <w:szCs w:val="24"/>
        </w:rPr>
        <w:t xml:space="preserve">) по сравнению с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>, что указывает на исходные различия между группами ещё до учёта реформы. При этом средний размер закупок (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log_trd_total_sum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>) практически одинаков в обеих группах (≈ 5.43), что подтверждает их сопоставимость по масштабу и поддерживает корректность сравнения в модели.</w:t>
      </w:r>
    </w:p>
    <w:p w14:paraId="250B5728" w14:textId="77777777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892F8F" w14:textId="6857822C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29D304" wp14:editId="5F90EBAF">
            <wp:extent cx="4610100" cy="5905500"/>
            <wp:effectExtent l="0" t="0" r="0" b="0"/>
            <wp:docPr id="40149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958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F1C9" w14:textId="77777777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sz w:val="24"/>
          <w:szCs w:val="24"/>
        </w:rPr>
        <w:t xml:space="preserve">Результаты упрощённой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DiD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-модели показывают, что коэффициент </w:t>
      </w:r>
      <w:proofErr w:type="spellStart"/>
      <w:r w:rsidRPr="00EA22C9">
        <w:rPr>
          <w:rFonts w:ascii="Times New Roman" w:hAnsi="Times New Roman" w:cs="Times New Roman"/>
          <w:b/>
          <w:bCs/>
          <w:sz w:val="24"/>
          <w:szCs w:val="24"/>
        </w:rPr>
        <w:t>treatment:post</w:t>
      </w:r>
      <w:proofErr w:type="spellEnd"/>
      <w:r w:rsidRPr="00EA22C9">
        <w:rPr>
          <w:rFonts w:ascii="Times New Roman" w:hAnsi="Times New Roman" w:cs="Times New Roman"/>
          <w:b/>
          <w:bCs/>
          <w:sz w:val="24"/>
          <w:szCs w:val="24"/>
        </w:rPr>
        <w:t xml:space="preserve"> отрицательный и статистически значимый</w:t>
      </w:r>
      <w:r w:rsidRPr="00EA22C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coef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= -0.0128, p = 0.016), что указывает на снижение экономии в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treatment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-группе после реформы относительно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. Переменная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post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также имеет отрицательный и значимый эффект (p &lt; 0.001), отражая общее снижение экономии после 2018 года, тогда как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treatment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положителен и значим (p &lt; 0.001), что подтверждает более высокий исходный уровень экономии в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treatment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>-группе. Несмотря на статистическую значимость, объясняющая способность модели остаётся низкой (R² ≈ 0.002), поэтому результаты следует интерпретировать с осторожностью.</w:t>
      </w:r>
    </w:p>
    <w:p w14:paraId="5B3A05C3" w14:textId="77777777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0885B4" w14:textId="64E0B820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C048EC6" wp14:editId="3B2D493C">
            <wp:extent cx="4295775" cy="6095765"/>
            <wp:effectExtent l="0" t="0" r="0" b="635"/>
            <wp:docPr id="51936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613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6638" cy="609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31DF" w14:textId="77777777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sz w:val="24"/>
          <w:szCs w:val="24"/>
        </w:rPr>
        <w:t xml:space="preserve">В модели с добавлением контролей и кластеризацией стандартных ошибок ключевой коэффициент </w:t>
      </w:r>
      <w:proofErr w:type="spellStart"/>
      <w:r w:rsidRPr="00EA22C9">
        <w:rPr>
          <w:rFonts w:ascii="Times New Roman" w:hAnsi="Times New Roman" w:cs="Times New Roman"/>
          <w:b/>
          <w:bCs/>
          <w:sz w:val="24"/>
          <w:szCs w:val="24"/>
        </w:rPr>
        <w:t>treatment:post</w:t>
      </w:r>
      <w:proofErr w:type="spellEnd"/>
      <w:r w:rsidRPr="00EA22C9">
        <w:rPr>
          <w:rFonts w:ascii="Times New Roman" w:hAnsi="Times New Roman" w:cs="Times New Roman"/>
          <w:b/>
          <w:bCs/>
          <w:sz w:val="24"/>
          <w:szCs w:val="24"/>
        </w:rPr>
        <w:t xml:space="preserve"> становится статистически незначимым</w:t>
      </w:r>
      <w:r w:rsidRPr="00EA22C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coef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≈ -0.0027, p = 0.755), что указывает на отсутствие эффекта реформы на экономию после учёта региональных различий и характеристик закупок. Переменная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post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остаётся отрицательной и значимой (p = 0.007), отражая общее снижение экономии после реформы. Коэффициент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treatment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становится погранично значимым (p = 0.053), что ослабляет вывод о различиях между группами до реформы. При этом объясняющая способность модели заметно выше (R² ≈ 0.054), что говорит о важности включённых контролей для объяснения вариации экономии.</w:t>
      </w:r>
    </w:p>
    <w:p w14:paraId="096F4D8D" w14:textId="77777777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DE6C72" w14:textId="2D5D570D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0E16517" wp14:editId="11F00C42">
            <wp:extent cx="4819650" cy="6229350"/>
            <wp:effectExtent l="0" t="0" r="0" b="0"/>
            <wp:docPr id="86323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301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75C0" w14:textId="77777777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sz w:val="24"/>
          <w:szCs w:val="24"/>
        </w:rPr>
        <w:t xml:space="preserve">Результаты модели на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подвыборке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(50,000 наблюдений) показывают, что коэффициент </w:t>
      </w:r>
      <w:proofErr w:type="spellStart"/>
      <w:r w:rsidRPr="00EA22C9">
        <w:rPr>
          <w:rFonts w:ascii="Times New Roman" w:hAnsi="Times New Roman" w:cs="Times New Roman"/>
          <w:b/>
          <w:bCs/>
          <w:sz w:val="24"/>
          <w:szCs w:val="24"/>
        </w:rPr>
        <w:t>treatment:post</w:t>
      </w:r>
      <w:proofErr w:type="spellEnd"/>
      <w:r w:rsidRPr="00EA22C9">
        <w:rPr>
          <w:rFonts w:ascii="Times New Roman" w:hAnsi="Times New Roman" w:cs="Times New Roman"/>
          <w:b/>
          <w:bCs/>
          <w:sz w:val="24"/>
          <w:szCs w:val="24"/>
        </w:rPr>
        <w:t xml:space="preserve"> не является статистически значимым</w:t>
      </w:r>
      <w:r w:rsidRPr="00EA22C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coef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= -0.0189, p = 0.235), что подтверждает отсутствие устойчивого эффекта реформы. Переменная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treatment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остаётся положительной и значимой (p &lt; 0.001), указывая на более высокий уровень экономии в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treatment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-группе, тогда как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post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становится незначимой (p = 0.554). Переменная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log_trd_total_sum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остаётся отрицательной и значимой (p &lt; 0.001), подтверждая, что более крупные закупки связаны с меньшей относительной экономией. В целом результаты согласуются с основной моделью и подтверждают их устойчивость.</w:t>
      </w:r>
    </w:p>
    <w:p w14:paraId="3569EEA0" w14:textId="77777777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C65A67" w14:textId="77777777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50A56C" w14:textId="77777777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B7D2AC" w14:textId="77777777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4D77AB" w14:textId="77777777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2E1A48" w14:textId="2FEAB0AA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A22C9">
        <w:rPr>
          <w:rFonts w:ascii="Times New Roman" w:hAnsi="Times New Roman" w:cs="Times New Roman"/>
          <w:sz w:val="24"/>
          <w:szCs w:val="24"/>
          <w:lang w:val="en-US"/>
        </w:rPr>
        <w:t>H2b</w:t>
      </w:r>
    </w:p>
    <w:p w14:paraId="05485591" w14:textId="4C707689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804635" wp14:editId="56DDF088">
            <wp:extent cx="4629150" cy="4672695"/>
            <wp:effectExtent l="0" t="0" r="0" b="0"/>
            <wp:docPr id="107545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587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6305" cy="469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4694" w14:textId="61E0DC4A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A6FF839" wp14:editId="1C3F392F">
            <wp:extent cx="5940425" cy="4419600"/>
            <wp:effectExtent l="0" t="0" r="3175" b="0"/>
            <wp:docPr id="119063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348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59759" cy="443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900D" w14:textId="77777777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sz w:val="24"/>
          <w:szCs w:val="24"/>
        </w:rPr>
        <w:t xml:space="preserve">Результаты логистической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DiD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-модели показывают, что коэффициент </w:t>
      </w:r>
      <w:proofErr w:type="spellStart"/>
      <w:r w:rsidRPr="00EA22C9">
        <w:rPr>
          <w:rFonts w:ascii="Times New Roman" w:hAnsi="Times New Roman" w:cs="Times New Roman"/>
          <w:b/>
          <w:bCs/>
          <w:sz w:val="24"/>
          <w:szCs w:val="24"/>
        </w:rPr>
        <w:t>treatment:post</w:t>
      </w:r>
      <w:proofErr w:type="spellEnd"/>
      <w:r w:rsidRPr="00EA22C9">
        <w:rPr>
          <w:rFonts w:ascii="Times New Roman" w:hAnsi="Times New Roman" w:cs="Times New Roman"/>
          <w:b/>
          <w:bCs/>
          <w:sz w:val="24"/>
          <w:szCs w:val="24"/>
        </w:rPr>
        <w:t xml:space="preserve"> положительный и статистически значимый</w:t>
      </w:r>
      <w:r w:rsidRPr="00EA22C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coef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= 0.2313, p = 0.020), что указывает на увеличение вероятности демпинга в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treatment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-группе после реформы. В терминах предельных эффектов это соответствует росту вероятности примерно на </w:t>
      </w:r>
      <w:r w:rsidRPr="00EA22C9">
        <w:rPr>
          <w:rFonts w:ascii="Times New Roman" w:hAnsi="Times New Roman" w:cs="Times New Roman"/>
          <w:b/>
          <w:bCs/>
          <w:sz w:val="24"/>
          <w:szCs w:val="24"/>
        </w:rPr>
        <w:t>5.3 процентных пункта</w:t>
      </w:r>
      <w:r w:rsidRPr="00EA22C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dx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= 0.0534, p = 0.020). Переменная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n_lots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также положительна и значима (p &lt; 0.001), что означает, что закупки с большим числом лотов чаще сопровождаются демпингом, тогда как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log_trd_total_sum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не является значимой. В целом результаты свидетельствуют о том, что реформа ассоциирована с ростом вероятности агрессивного снижения цен.</w:t>
      </w:r>
    </w:p>
    <w:p w14:paraId="02C3C86B" w14:textId="3C24A272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78C1E9" wp14:editId="07B3E0F6">
            <wp:extent cx="3448050" cy="1362075"/>
            <wp:effectExtent l="0" t="0" r="0" b="9525"/>
            <wp:docPr id="117984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426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9AB9" w14:textId="77777777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sz w:val="24"/>
          <w:szCs w:val="24"/>
        </w:rPr>
        <w:t xml:space="preserve">Таблица показывает, что в </w:t>
      </w:r>
      <w:proofErr w:type="spellStart"/>
      <w:r w:rsidRPr="00EA22C9">
        <w:rPr>
          <w:rFonts w:ascii="Times New Roman" w:hAnsi="Times New Roman" w:cs="Times New Roman"/>
          <w:b/>
          <w:bCs/>
          <w:sz w:val="24"/>
          <w:szCs w:val="24"/>
        </w:rPr>
        <w:t>treatment</w:t>
      </w:r>
      <w:proofErr w:type="spellEnd"/>
      <w:r w:rsidRPr="00EA22C9">
        <w:rPr>
          <w:rFonts w:ascii="Times New Roman" w:hAnsi="Times New Roman" w:cs="Times New Roman"/>
          <w:b/>
          <w:bCs/>
          <w:sz w:val="24"/>
          <w:szCs w:val="24"/>
        </w:rPr>
        <w:t>-группе вероятность демпинга заметно выше</w:t>
      </w:r>
      <w:r w:rsidRPr="00EA22C9">
        <w:rPr>
          <w:rFonts w:ascii="Times New Roman" w:hAnsi="Times New Roman" w:cs="Times New Roman"/>
          <w:sz w:val="24"/>
          <w:szCs w:val="24"/>
        </w:rPr>
        <w:t xml:space="preserve"> (44.4% против 37.1% в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>), что указывает на исходные различия между группами. При этом средний размер закупок (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log_trd_total_sum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) даже немного ниже в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treatment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>, а число лотов (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n_lots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) выше, что может частично объяснять более высокую склонность к демпингу. Эти различия подтверждают необходимость контролей в модели и использования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DiD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>-подхода для корректной оценки эффекта реформы.</w:t>
      </w:r>
    </w:p>
    <w:p w14:paraId="53203DFF" w14:textId="77777777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02655A" w14:textId="189E9FDB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675826" wp14:editId="5AE07238">
            <wp:extent cx="5940425" cy="4214495"/>
            <wp:effectExtent l="0" t="0" r="3175" b="0"/>
            <wp:docPr id="117897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785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430D" w14:textId="77777777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sz w:val="24"/>
          <w:szCs w:val="24"/>
        </w:rPr>
        <w:t xml:space="preserve">График показывает, что до реформы тренды </w:t>
      </w:r>
      <w:r w:rsidRPr="00EA22C9">
        <w:rPr>
          <w:rFonts w:ascii="Times New Roman" w:hAnsi="Times New Roman" w:cs="Times New Roman"/>
          <w:b/>
          <w:bCs/>
          <w:sz w:val="24"/>
          <w:szCs w:val="24"/>
        </w:rPr>
        <w:t>не являются параллельными</w:t>
      </w:r>
      <w:r w:rsidRPr="00EA22C9">
        <w:rPr>
          <w:rFonts w:ascii="Times New Roman" w:hAnsi="Times New Roman" w:cs="Times New Roman"/>
          <w:sz w:val="24"/>
          <w:szCs w:val="24"/>
        </w:rPr>
        <w:t xml:space="preserve">: в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-группе уровень демпинга снижается (с ~0.386 до ~0.358), тогда как в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treatment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-группе он, наоборот, растёт (с ~0.44 до ~0.448). Это означает расхождение динамики ещё до реформы и указывает на нарушение предпосылки </w:t>
      </w:r>
      <w:proofErr w:type="spellStart"/>
      <w:r w:rsidRPr="00EA22C9">
        <w:rPr>
          <w:rFonts w:ascii="Times New Roman" w:hAnsi="Times New Roman" w:cs="Times New Roman"/>
          <w:b/>
          <w:bCs/>
          <w:sz w:val="24"/>
          <w:szCs w:val="24"/>
        </w:rPr>
        <w:t>parallel</w:t>
      </w:r>
      <w:proofErr w:type="spellEnd"/>
      <w:r w:rsidRPr="00EA22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22C9">
        <w:rPr>
          <w:rFonts w:ascii="Times New Roman" w:hAnsi="Times New Roman" w:cs="Times New Roman"/>
          <w:b/>
          <w:bCs/>
          <w:sz w:val="24"/>
          <w:szCs w:val="24"/>
        </w:rPr>
        <w:t>trends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, что снижает силу причинной интерпретации результатов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DiD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для H2b.</w:t>
      </w:r>
    </w:p>
    <w:p w14:paraId="4317D1A7" w14:textId="77777777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8B1A74" w14:textId="3D37756C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A08295" wp14:editId="525999F3">
            <wp:extent cx="5940425" cy="5408295"/>
            <wp:effectExtent l="0" t="0" r="3175" b="1905"/>
            <wp:docPr id="122231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110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8987" w14:textId="77777777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sz w:val="24"/>
          <w:szCs w:val="24"/>
        </w:rPr>
        <w:t xml:space="preserve">Результаты логистической модели показывают, что коэффициент </w:t>
      </w:r>
      <w:proofErr w:type="spellStart"/>
      <w:r w:rsidRPr="00EA22C9">
        <w:rPr>
          <w:rFonts w:ascii="Times New Roman" w:hAnsi="Times New Roman" w:cs="Times New Roman"/>
          <w:b/>
          <w:bCs/>
          <w:sz w:val="24"/>
          <w:szCs w:val="24"/>
        </w:rPr>
        <w:t>treatment:fake_post</w:t>
      </w:r>
      <w:proofErr w:type="spellEnd"/>
      <w:r w:rsidRPr="00EA22C9">
        <w:rPr>
          <w:rFonts w:ascii="Times New Roman" w:hAnsi="Times New Roman" w:cs="Times New Roman"/>
          <w:b/>
          <w:bCs/>
          <w:sz w:val="24"/>
          <w:szCs w:val="24"/>
        </w:rPr>
        <w:t xml:space="preserve"> положительный и статистически значимый</w:t>
      </w:r>
      <w:r w:rsidRPr="00EA22C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coef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= 0.2442, p &lt; 0.001), что означает наличие “эффекта” ещё до реальной реформы. Это является сильным сигналом проблемы: </w:t>
      </w:r>
      <w:proofErr w:type="spellStart"/>
      <w:r w:rsidRPr="00EA22C9">
        <w:rPr>
          <w:rFonts w:ascii="Times New Roman" w:hAnsi="Times New Roman" w:cs="Times New Roman"/>
          <w:b/>
          <w:bCs/>
          <w:sz w:val="24"/>
          <w:szCs w:val="24"/>
        </w:rPr>
        <w:t>placebo</w:t>
      </w:r>
      <w:proofErr w:type="spellEnd"/>
      <w:r w:rsidRPr="00EA22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A22C9">
        <w:rPr>
          <w:rFonts w:ascii="Times New Roman" w:hAnsi="Times New Roman" w:cs="Times New Roman"/>
          <w:b/>
          <w:bCs/>
          <w:sz w:val="24"/>
          <w:szCs w:val="24"/>
        </w:rPr>
        <w:t>test</w:t>
      </w:r>
      <w:proofErr w:type="spellEnd"/>
      <w:r w:rsidRPr="00EA22C9">
        <w:rPr>
          <w:rFonts w:ascii="Times New Roman" w:hAnsi="Times New Roman" w:cs="Times New Roman"/>
          <w:b/>
          <w:bCs/>
          <w:sz w:val="24"/>
          <w:szCs w:val="24"/>
        </w:rPr>
        <w:t xml:space="preserve"> не проходит</w:t>
      </w:r>
      <w:r w:rsidRPr="00EA22C9">
        <w:rPr>
          <w:rFonts w:ascii="Times New Roman" w:hAnsi="Times New Roman" w:cs="Times New Roman"/>
          <w:sz w:val="24"/>
          <w:szCs w:val="24"/>
        </w:rPr>
        <w:t xml:space="preserve">, поскольку модель фиксирует различия между группами в период, когда реформы ещё не было. В сочетании с нарушением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parallel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trends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это указывает на то, что оценка эффекта реформы по H2b может быть смещена и не полностью каузально интерпретируема.</w:t>
      </w:r>
    </w:p>
    <w:p w14:paraId="461C3357" w14:textId="247EFA56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r w:rsidRPr="00EA22C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568185" wp14:editId="218A8962">
            <wp:extent cx="5940425" cy="4842510"/>
            <wp:effectExtent l="0" t="0" r="3175" b="0"/>
            <wp:docPr id="122589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937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E706" w14:textId="724590B7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E7BD6B" w14:textId="77777777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sz w:val="24"/>
          <w:szCs w:val="24"/>
        </w:rPr>
        <w:t xml:space="preserve">Результаты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event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показывают, что </w:t>
      </w:r>
      <w:r w:rsidRPr="00EA22C9">
        <w:rPr>
          <w:rFonts w:ascii="Times New Roman" w:hAnsi="Times New Roman" w:cs="Times New Roman"/>
          <w:b/>
          <w:bCs/>
          <w:sz w:val="24"/>
          <w:szCs w:val="24"/>
        </w:rPr>
        <w:t>до реформы уже присутствует статистически значимый эффект</w:t>
      </w:r>
      <w:r w:rsidRPr="00EA22C9">
        <w:rPr>
          <w:rFonts w:ascii="Times New Roman" w:hAnsi="Times New Roman" w:cs="Times New Roman"/>
          <w:sz w:val="24"/>
          <w:szCs w:val="24"/>
        </w:rPr>
        <w:t xml:space="preserve">: коэффициент treatment:event_m1 положительный и значимый (p = 0.021), что подтверждает нарушение предпосылки отсутствия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pre-trends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. После реформы наблюдается краткосрочный рост демпинга в первый год (event_p1, p &lt; 0.001), однако в последующие годы эффекты становятся статистически незначимыми. Это означает, что увеличение демпинга носит </w:t>
      </w:r>
      <w:r w:rsidRPr="00EA22C9">
        <w:rPr>
          <w:rFonts w:ascii="Times New Roman" w:hAnsi="Times New Roman" w:cs="Times New Roman"/>
          <w:b/>
          <w:bCs/>
          <w:sz w:val="24"/>
          <w:szCs w:val="24"/>
        </w:rPr>
        <w:t>временный характер</w:t>
      </w:r>
      <w:r w:rsidRPr="00EA22C9">
        <w:rPr>
          <w:rFonts w:ascii="Times New Roman" w:hAnsi="Times New Roman" w:cs="Times New Roman"/>
          <w:sz w:val="24"/>
          <w:szCs w:val="24"/>
        </w:rPr>
        <w:t>, а также подтверждает, что часть эффекта объясняется уже существующими различиями между группами, что ограничивает каузальную интерпретацию результатов.</w:t>
      </w:r>
    </w:p>
    <w:p w14:paraId="5A9C220C" w14:textId="77777777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7D023B" w14:textId="17637A88" w:rsidR="00EA22C9" w:rsidRP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607A96" wp14:editId="364BBBC3">
            <wp:extent cx="5724525" cy="4400550"/>
            <wp:effectExtent l="0" t="0" r="9525" b="0"/>
            <wp:docPr id="50400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098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5448" w14:textId="77777777" w:rsidR="00EA22C9" w:rsidRDefault="00EA22C9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EA22C9">
        <w:rPr>
          <w:rFonts w:ascii="Times New Roman" w:hAnsi="Times New Roman" w:cs="Times New Roman"/>
          <w:sz w:val="24"/>
          <w:szCs w:val="24"/>
        </w:rPr>
        <w:t xml:space="preserve">График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common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support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показывает, что распределения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log_trd_total_sum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treatment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групп </w:t>
      </w:r>
      <w:r w:rsidRPr="00EA22C9">
        <w:rPr>
          <w:rFonts w:ascii="Times New Roman" w:hAnsi="Times New Roman" w:cs="Times New Roman"/>
          <w:b/>
          <w:bCs/>
          <w:sz w:val="24"/>
          <w:szCs w:val="24"/>
        </w:rPr>
        <w:t>не полностью совпадают</w:t>
      </w:r>
      <w:r w:rsidRPr="00EA22C9">
        <w:rPr>
          <w:rFonts w:ascii="Times New Roman" w:hAnsi="Times New Roman" w:cs="Times New Roman"/>
          <w:sz w:val="24"/>
          <w:szCs w:val="24"/>
        </w:rPr>
        <w:t xml:space="preserve">: хотя центр распределений находится примерно в одной области (около 5–6), плотность для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значительно ниже и уже, тогда как </w:t>
      </w:r>
      <w:proofErr w:type="spellStart"/>
      <w:r w:rsidRPr="00EA22C9">
        <w:rPr>
          <w:rFonts w:ascii="Times New Roman" w:hAnsi="Times New Roman" w:cs="Times New Roman"/>
          <w:sz w:val="24"/>
          <w:szCs w:val="24"/>
        </w:rPr>
        <w:t>treatment</w:t>
      </w:r>
      <w:proofErr w:type="spellEnd"/>
      <w:r w:rsidRPr="00EA22C9">
        <w:rPr>
          <w:rFonts w:ascii="Times New Roman" w:hAnsi="Times New Roman" w:cs="Times New Roman"/>
          <w:sz w:val="24"/>
          <w:szCs w:val="24"/>
        </w:rPr>
        <w:t xml:space="preserve"> имеет гораздо больше наблюдений и более широкое распределение. Это указывает на </w:t>
      </w:r>
      <w:r w:rsidRPr="00EA22C9">
        <w:rPr>
          <w:rFonts w:ascii="Times New Roman" w:hAnsi="Times New Roman" w:cs="Times New Roman"/>
          <w:b/>
          <w:bCs/>
          <w:sz w:val="24"/>
          <w:szCs w:val="24"/>
        </w:rPr>
        <w:t>дисбаланс между группами</w:t>
      </w:r>
      <w:r w:rsidRPr="00EA22C9">
        <w:rPr>
          <w:rFonts w:ascii="Times New Roman" w:hAnsi="Times New Roman" w:cs="Times New Roman"/>
          <w:sz w:val="24"/>
          <w:szCs w:val="24"/>
        </w:rPr>
        <w:t>, что может снижать сопоставимость и потенциально влиять на оценки модели, несмотря на частичное перекрытие в основной области значений.</w:t>
      </w:r>
    </w:p>
    <w:p w14:paraId="13257AC8" w14:textId="7EF574B3" w:rsidR="00206E14" w:rsidRPr="00206E14" w:rsidRDefault="00206E14" w:rsidP="00206E1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06E14">
        <w:rPr>
          <w:rFonts w:ascii="Times New Roman" w:hAnsi="Times New Roman" w:cs="Times New Roman"/>
          <w:b/>
          <w:bCs/>
          <w:sz w:val="24"/>
          <w:szCs w:val="24"/>
        </w:rPr>
        <w:t>ЗАКЛЮЧЕНИЕ</w:t>
      </w:r>
    </w:p>
    <w:p w14:paraId="249B79EF" w14:textId="77777777" w:rsidR="00206E14" w:rsidRPr="00206E14" w:rsidRDefault="00206E14" w:rsidP="00206E14">
      <w:pPr>
        <w:jc w:val="both"/>
        <w:rPr>
          <w:rFonts w:ascii="Times New Roman" w:hAnsi="Times New Roman" w:cs="Times New Roman"/>
          <w:sz w:val="24"/>
          <w:szCs w:val="24"/>
        </w:rPr>
      </w:pPr>
      <w:r w:rsidRPr="00206E14">
        <w:rPr>
          <w:rFonts w:ascii="Times New Roman" w:hAnsi="Times New Roman" w:cs="Times New Roman"/>
          <w:sz w:val="24"/>
          <w:szCs w:val="24"/>
        </w:rPr>
        <w:t xml:space="preserve">В целом результаты анализа показывают, что гипотеза о влиянии реформы на эффективность закупок (H2a) </w:t>
      </w:r>
      <w:r w:rsidRPr="00206E14">
        <w:rPr>
          <w:rFonts w:ascii="Times New Roman" w:hAnsi="Times New Roman" w:cs="Times New Roman"/>
          <w:b/>
          <w:bCs/>
          <w:sz w:val="24"/>
          <w:szCs w:val="24"/>
        </w:rPr>
        <w:t>не подтверждается</w:t>
      </w:r>
      <w:r w:rsidRPr="00206E14">
        <w:rPr>
          <w:rFonts w:ascii="Times New Roman" w:hAnsi="Times New Roman" w:cs="Times New Roman"/>
          <w:sz w:val="24"/>
          <w:szCs w:val="24"/>
        </w:rPr>
        <w:t xml:space="preserve">: во всех спецификациях ключевой коэффициент </w:t>
      </w:r>
      <w:proofErr w:type="spellStart"/>
      <w:r w:rsidRPr="00206E14">
        <w:rPr>
          <w:rFonts w:ascii="Times New Roman" w:hAnsi="Times New Roman" w:cs="Times New Roman"/>
          <w:sz w:val="24"/>
          <w:szCs w:val="24"/>
        </w:rPr>
        <w:t>treatment:post</w:t>
      </w:r>
      <w:proofErr w:type="spellEnd"/>
      <w:r w:rsidRPr="00206E14">
        <w:rPr>
          <w:rFonts w:ascii="Times New Roman" w:hAnsi="Times New Roman" w:cs="Times New Roman"/>
          <w:sz w:val="24"/>
          <w:szCs w:val="24"/>
        </w:rPr>
        <w:t xml:space="preserve"> остаётся статистически незначимым, что означает отсутствие устойчивого эффекта реформы на уровень экономии. При этом наблюдается общий негативный тренд снижения экономии после 2018 года, не связанный с </w:t>
      </w:r>
      <w:proofErr w:type="spellStart"/>
      <w:r w:rsidRPr="00206E14">
        <w:rPr>
          <w:rFonts w:ascii="Times New Roman" w:hAnsi="Times New Roman" w:cs="Times New Roman"/>
          <w:sz w:val="24"/>
          <w:szCs w:val="24"/>
        </w:rPr>
        <w:t>treatment</w:t>
      </w:r>
      <w:proofErr w:type="spellEnd"/>
      <w:r w:rsidRPr="00206E14">
        <w:rPr>
          <w:rFonts w:ascii="Times New Roman" w:hAnsi="Times New Roman" w:cs="Times New Roman"/>
          <w:sz w:val="24"/>
          <w:szCs w:val="24"/>
        </w:rPr>
        <w:t xml:space="preserve">-группой. Для второй гипотезы (H2b) результаты логистической модели указывают на </w:t>
      </w:r>
      <w:r w:rsidRPr="00206E14">
        <w:rPr>
          <w:rFonts w:ascii="Times New Roman" w:hAnsi="Times New Roman" w:cs="Times New Roman"/>
          <w:b/>
          <w:bCs/>
          <w:sz w:val="24"/>
          <w:szCs w:val="24"/>
        </w:rPr>
        <w:t>рост вероятности демпинга после реформы</w:t>
      </w:r>
      <w:r w:rsidRPr="00206E14">
        <w:rPr>
          <w:rFonts w:ascii="Times New Roman" w:hAnsi="Times New Roman" w:cs="Times New Roman"/>
          <w:sz w:val="24"/>
          <w:szCs w:val="24"/>
        </w:rPr>
        <w:t xml:space="preserve">, однако проверка предпосылок </w:t>
      </w:r>
      <w:proofErr w:type="spellStart"/>
      <w:r w:rsidRPr="00206E14">
        <w:rPr>
          <w:rFonts w:ascii="Times New Roman" w:hAnsi="Times New Roman" w:cs="Times New Roman"/>
          <w:sz w:val="24"/>
          <w:szCs w:val="24"/>
        </w:rPr>
        <w:t>DiD</w:t>
      </w:r>
      <w:proofErr w:type="spellEnd"/>
      <w:r w:rsidRPr="00206E14">
        <w:rPr>
          <w:rFonts w:ascii="Times New Roman" w:hAnsi="Times New Roman" w:cs="Times New Roman"/>
          <w:sz w:val="24"/>
          <w:szCs w:val="24"/>
        </w:rPr>
        <w:t xml:space="preserve"> выявляет серьёзные ограничения: нарушается условие параллельных трендов, </w:t>
      </w:r>
      <w:proofErr w:type="spellStart"/>
      <w:r w:rsidRPr="00206E14">
        <w:rPr>
          <w:rFonts w:ascii="Times New Roman" w:hAnsi="Times New Roman" w:cs="Times New Roman"/>
          <w:sz w:val="24"/>
          <w:szCs w:val="24"/>
        </w:rPr>
        <w:t>placebo</w:t>
      </w:r>
      <w:proofErr w:type="spellEnd"/>
      <w:r w:rsidRPr="00206E14">
        <w:rPr>
          <w:rFonts w:ascii="Times New Roman" w:hAnsi="Times New Roman" w:cs="Times New Roman"/>
          <w:sz w:val="24"/>
          <w:szCs w:val="24"/>
        </w:rPr>
        <w:t xml:space="preserve">-тест показывает наличие эффекта до реформы, а </w:t>
      </w:r>
      <w:proofErr w:type="spellStart"/>
      <w:r w:rsidRPr="00206E14">
        <w:rPr>
          <w:rFonts w:ascii="Times New Roman" w:hAnsi="Times New Roman" w:cs="Times New Roman"/>
          <w:sz w:val="24"/>
          <w:szCs w:val="24"/>
        </w:rPr>
        <w:t>event</w:t>
      </w:r>
      <w:proofErr w:type="spellEnd"/>
      <w:r w:rsidRPr="00206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E14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206E14">
        <w:rPr>
          <w:rFonts w:ascii="Times New Roman" w:hAnsi="Times New Roman" w:cs="Times New Roman"/>
          <w:sz w:val="24"/>
          <w:szCs w:val="24"/>
        </w:rPr>
        <w:t xml:space="preserve"> подтверждает существование значимых различий между группами в </w:t>
      </w:r>
      <w:proofErr w:type="spellStart"/>
      <w:r w:rsidRPr="00206E14">
        <w:rPr>
          <w:rFonts w:ascii="Times New Roman" w:hAnsi="Times New Roman" w:cs="Times New Roman"/>
          <w:sz w:val="24"/>
          <w:szCs w:val="24"/>
        </w:rPr>
        <w:t>pre</w:t>
      </w:r>
      <w:proofErr w:type="spellEnd"/>
      <w:r w:rsidRPr="00206E14">
        <w:rPr>
          <w:rFonts w:ascii="Times New Roman" w:hAnsi="Times New Roman" w:cs="Times New Roman"/>
          <w:sz w:val="24"/>
          <w:szCs w:val="24"/>
        </w:rPr>
        <w:t xml:space="preserve">-периоде. Несмотря на выполнение условия </w:t>
      </w:r>
      <w:proofErr w:type="spellStart"/>
      <w:r w:rsidRPr="00206E14">
        <w:rPr>
          <w:rFonts w:ascii="Times New Roman" w:hAnsi="Times New Roman" w:cs="Times New Roman"/>
          <w:sz w:val="24"/>
          <w:szCs w:val="24"/>
        </w:rPr>
        <w:t>common</w:t>
      </w:r>
      <w:proofErr w:type="spellEnd"/>
      <w:r w:rsidRPr="00206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E14">
        <w:rPr>
          <w:rFonts w:ascii="Times New Roman" w:hAnsi="Times New Roman" w:cs="Times New Roman"/>
          <w:sz w:val="24"/>
          <w:szCs w:val="24"/>
        </w:rPr>
        <w:t>support</w:t>
      </w:r>
      <w:proofErr w:type="spellEnd"/>
      <w:r w:rsidRPr="00206E14">
        <w:rPr>
          <w:rFonts w:ascii="Times New Roman" w:hAnsi="Times New Roman" w:cs="Times New Roman"/>
          <w:sz w:val="24"/>
          <w:szCs w:val="24"/>
        </w:rPr>
        <w:t xml:space="preserve">, эти проблемы означают, что полученные оценки нельзя однозначно интерпретировать как причинный эффект реформы. Таким образом, можно заключить, что реформа не привела к улучшению эффективности закупок и, возможно, ассоциирована с ростом демпинга, однако из-за нарушений предпосылок </w:t>
      </w:r>
      <w:proofErr w:type="spellStart"/>
      <w:r w:rsidRPr="00206E14">
        <w:rPr>
          <w:rFonts w:ascii="Times New Roman" w:hAnsi="Times New Roman" w:cs="Times New Roman"/>
          <w:sz w:val="24"/>
          <w:szCs w:val="24"/>
        </w:rPr>
        <w:t>DiD</w:t>
      </w:r>
      <w:proofErr w:type="spellEnd"/>
      <w:r w:rsidRPr="00206E14">
        <w:rPr>
          <w:rFonts w:ascii="Times New Roman" w:hAnsi="Times New Roman" w:cs="Times New Roman"/>
          <w:sz w:val="24"/>
          <w:szCs w:val="24"/>
        </w:rPr>
        <w:t xml:space="preserve"> данный результат следует интерпретировать с осторожностью как ассоциативный, а не строго каузальный эффект.</w:t>
      </w:r>
    </w:p>
    <w:p w14:paraId="4FDD0AFA" w14:textId="77777777" w:rsidR="00206E14" w:rsidRDefault="00206E14" w:rsidP="00EA22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4FB11C" w14:textId="502253AC" w:rsidR="00974CE6" w:rsidRPr="00EA22C9" w:rsidRDefault="00974CE6" w:rsidP="00EA22C9">
      <w:pPr>
        <w:jc w:val="both"/>
        <w:rPr>
          <w:rFonts w:ascii="Times New Roman" w:hAnsi="Times New Roman" w:cs="Times New Roman"/>
          <w:sz w:val="24"/>
          <w:szCs w:val="24"/>
        </w:rPr>
      </w:pPr>
      <w:r w:rsidRPr="00974CE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FF0D21D" wp14:editId="720F35F7">
            <wp:extent cx="5353050" cy="3954562"/>
            <wp:effectExtent l="0" t="0" r="0" b="8255"/>
            <wp:docPr id="209024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484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53615" cy="395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1B37" w14:textId="377036B1" w:rsidR="00EA22C9" w:rsidRDefault="00974CE6" w:rsidP="00EA22C9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74CE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EEF8E5" wp14:editId="2E07CAC6">
            <wp:extent cx="5940425" cy="4780915"/>
            <wp:effectExtent l="0" t="0" r="3175" b="635"/>
            <wp:docPr id="74889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953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BA02" w14:textId="5A97B6CF" w:rsidR="00974CE6" w:rsidRDefault="00974CE6" w:rsidP="00EA22C9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974CE6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094D13E5" wp14:editId="28A41983">
            <wp:extent cx="5940425" cy="4513580"/>
            <wp:effectExtent l="0" t="0" r="3175" b="1270"/>
            <wp:docPr id="124584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455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E9AC" w14:textId="77777777" w:rsidR="00211C9E" w:rsidRPr="00211C9E" w:rsidRDefault="00211C9E" w:rsidP="00211C9E">
      <w:pPr>
        <w:jc w:val="both"/>
        <w:rPr>
          <w:rFonts w:ascii="Times New Roman" w:hAnsi="Times New Roman" w:cs="Times New Roman"/>
          <w:sz w:val="24"/>
          <w:szCs w:val="24"/>
          <w:lang w:val="ru-KZ"/>
        </w:rPr>
      </w:pPr>
      <w:r w:rsidRPr="00211C9E">
        <w:rPr>
          <w:rFonts w:ascii="Times New Roman" w:hAnsi="Times New Roman" w:cs="Times New Roman"/>
          <w:sz w:val="24"/>
          <w:szCs w:val="24"/>
          <w:lang w:val="ru-KZ"/>
        </w:rPr>
        <w:t xml:space="preserve">Квантильная регрессия </w:t>
      </w:r>
      <w:r w:rsidRPr="00211C9E">
        <w:rPr>
          <w:rFonts w:ascii="Times New Roman" w:hAnsi="Times New Roman" w:cs="Times New Roman"/>
          <w:b/>
          <w:bCs/>
          <w:sz w:val="24"/>
          <w:szCs w:val="24"/>
          <w:lang w:val="ru-KZ"/>
        </w:rPr>
        <w:t>не делит данные физически на отдельные группы</w:t>
      </w:r>
      <w:r w:rsidRPr="00211C9E">
        <w:rPr>
          <w:rFonts w:ascii="Times New Roman" w:hAnsi="Times New Roman" w:cs="Times New Roman"/>
          <w:sz w:val="24"/>
          <w:szCs w:val="24"/>
          <w:lang w:val="ru-KZ"/>
        </w:rPr>
        <w:t xml:space="preserve"> и не запускает три разные модели только на “нижних 25%” или “верхних 25%” наблюдений. Она использует </w:t>
      </w:r>
      <w:r w:rsidRPr="00211C9E">
        <w:rPr>
          <w:rFonts w:ascii="Times New Roman" w:hAnsi="Times New Roman" w:cs="Times New Roman"/>
          <w:b/>
          <w:bCs/>
          <w:sz w:val="24"/>
          <w:szCs w:val="24"/>
          <w:lang w:val="ru-KZ"/>
        </w:rPr>
        <w:t>всю выборку</w:t>
      </w:r>
      <w:r w:rsidRPr="00211C9E">
        <w:rPr>
          <w:rFonts w:ascii="Times New Roman" w:hAnsi="Times New Roman" w:cs="Times New Roman"/>
          <w:sz w:val="24"/>
          <w:szCs w:val="24"/>
          <w:lang w:val="ru-KZ"/>
        </w:rPr>
        <w:t xml:space="preserve">, но оценивает эффект переменных в разных точках распределения зависимой переменной. Например, q = 0.25 означает, что модель смотрит, как факторы влияют на нижнюю часть распределения </w:t>
      </w:r>
      <w:proofErr w:type="spellStart"/>
      <w:r w:rsidRPr="00211C9E">
        <w:rPr>
          <w:rFonts w:ascii="Times New Roman" w:hAnsi="Times New Roman" w:cs="Times New Roman"/>
          <w:sz w:val="24"/>
          <w:szCs w:val="24"/>
          <w:lang w:val="ru-KZ"/>
        </w:rPr>
        <w:t>trd_saving_rate</w:t>
      </w:r>
      <w:proofErr w:type="spellEnd"/>
      <w:r w:rsidRPr="00211C9E">
        <w:rPr>
          <w:rFonts w:ascii="Times New Roman" w:hAnsi="Times New Roman" w:cs="Times New Roman"/>
          <w:sz w:val="24"/>
          <w:szCs w:val="24"/>
          <w:lang w:val="ru-KZ"/>
        </w:rPr>
        <w:t>, то есть на закупки с низкой экономией; q = 0.5 — на медианную, типичную закупку; q = 0.75 — на верхнюю часть распределения, где экономия выше. В отличие от OLS, которая минимизирует сумму квадратов ошибок и показывает средний эффект, квантильная регрессия минимизирует взвешенные абсолютные ошибки: для каждого квантиля она по-разному “штрафует” ошибки выше и ниже линии регрессии. Поэтому она позволяет увидеть, одинаково ли реформа влияет на слабые, типичные и высокоэффективные закупки. В твоём случае это важно, потому что средняя модель скрывала эффект, а квантильная регрессия показала, что реформа почти не изменила закупки с низкой экономией, но снизила экономию у медианных и особенно у высокоэффективных закупок.</w:t>
      </w:r>
    </w:p>
    <w:p w14:paraId="19A7AD53" w14:textId="77777777" w:rsidR="00211C9E" w:rsidRPr="00211C9E" w:rsidRDefault="00211C9E" w:rsidP="00211C9E">
      <w:pPr>
        <w:jc w:val="both"/>
        <w:rPr>
          <w:rFonts w:ascii="Times New Roman" w:hAnsi="Times New Roman" w:cs="Times New Roman"/>
          <w:sz w:val="24"/>
          <w:szCs w:val="24"/>
          <w:lang w:val="ru-KZ"/>
        </w:rPr>
      </w:pPr>
      <w:r w:rsidRPr="00211C9E">
        <w:rPr>
          <w:rFonts w:ascii="Times New Roman" w:hAnsi="Times New Roman" w:cs="Times New Roman"/>
          <w:sz w:val="24"/>
          <w:szCs w:val="24"/>
          <w:lang w:val="ru-KZ"/>
        </w:rPr>
        <w:t xml:space="preserve">Квантильная регрессия позволяет оценить влияние реформы не в среднем, как OLS, а отдельно для разных уровней экономии, что особенно важно при неоднородных данных. В отличие от OLS, которая не показала значимого эффекта, квантильный анализ выявляет чёткую структуру: для закупок с низкой экономией (q = 0.25) реформа не оказала влияния, однако для типичных закупок (q = 0.5) наблюдается статистически значимое снижение экономии примерно на 1 процентный пункт, а для высокоэффективных закупок (q = 0.75) снижение ещё сильнее — около 2 процентных пунктов. Это означает, что эффект реформы не является равномерным: она практически не затронула слабые закупки, но ослабила </w:t>
      </w:r>
      <w:r w:rsidRPr="00211C9E">
        <w:rPr>
          <w:rFonts w:ascii="Times New Roman" w:hAnsi="Times New Roman" w:cs="Times New Roman"/>
          <w:sz w:val="24"/>
          <w:szCs w:val="24"/>
          <w:lang w:val="ru-KZ"/>
        </w:rPr>
        <w:lastRenderedPageBreak/>
        <w:t>ценовую конкуренцию там, где она раньше работала лучше всего, то есть среди более эффективных закупок с высокой экономией.</w:t>
      </w:r>
    </w:p>
    <w:p w14:paraId="73F9486E" w14:textId="77777777" w:rsidR="00211C9E" w:rsidRPr="00211C9E" w:rsidRDefault="00211C9E" w:rsidP="00EA22C9">
      <w:pPr>
        <w:jc w:val="both"/>
        <w:rPr>
          <w:rFonts w:ascii="Times New Roman" w:hAnsi="Times New Roman" w:cs="Times New Roman"/>
          <w:sz w:val="24"/>
          <w:szCs w:val="24"/>
          <w:lang w:val="ru-KZ"/>
        </w:rPr>
      </w:pPr>
    </w:p>
    <w:sectPr w:rsidR="00211C9E" w:rsidRPr="00211C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752"/>
    <w:rsid w:val="00000489"/>
    <w:rsid w:val="00056752"/>
    <w:rsid w:val="00206E14"/>
    <w:rsid w:val="00211C9E"/>
    <w:rsid w:val="002A739C"/>
    <w:rsid w:val="0030088C"/>
    <w:rsid w:val="00505F92"/>
    <w:rsid w:val="006A1F71"/>
    <w:rsid w:val="00735F84"/>
    <w:rsid w:val="0089134F"/>
    <w:rsid w:val="0097204B"/>
    <w:rsid w:val="00974CE6"/>
    <w:rsid w:val="00CC68A0"/>
    <w:rsid w:val="00E0356E"/>
    <w:rsid w:val="00E11BE7"/>
    <w:rsid w:val="00EA22C9"/>
    <w:rsid w:val="00F07F66"/>
    <w:rsid w:val="00F5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CF91A"/>
  <w15:chartTrackingRefBased/>
  <w15:docId w15:val="{651D9934-5A0E-4026-A8F6-E02EFF9D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7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7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7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7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7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21</Pages>
  <Words>2885</Words>
  <Characters>16450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Aruana Sadubayeva</dc:creator>
  <cp:keywords/>
  <dc:description/>
  <cp:lastModifiedBy>Aruana Sadubayeva</cp:lastModifiedBy>
  <cp:revision>3</cp:revision>
  <dcterms:created xsi:type="dcterms:W3CDTF">2026-05-01T10:06:00Z</dcterms:created>
  <dcterms:modified xsi:type="dcterms:W3CDTF">2026-05-05T10:03:00Z</dcterms:modified>
</cp:coreProperties>
</file>