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Arial" w:cs="Arial" w:eastAsia="Arial" w:hAnsi="Arial"/>
          <w:b/>
          <w:bCs/>
          <w:color w:val="1F4E79"/>
          <w:sz w:val="28"/>
          <w:szCs w:val="28"/>
        </w:rPr>
        <w:t xml:space="preserve">SRI VARA LAXMI SRIDHAR FOUNDATION</w:t>
      </w:r>
    </w:p>
    <w:p>
      <w:pPr>
        <w:spacing w:after="80"/>
        <w:jc w:val="center"/>
      </w:pPr>
      <w:r>
        <w:rPr>
          <w:rFonts w:ascii="Arial" w:cs="Arial" w:eastAsia="Arial" w:hAnsi="Arial"/>
          <w:i/>
          <w:iCs/>
          <w:color w:val="666666"/>
          <w:sz w:val="20"/>
          <w:szCs w:val="20"/>
        </w:rPr>
        <w:t xml:space="preserve">In Partnership with</w:t>
      </w:r>
    </w:p>
    <w:p>
      <w:pPr>
        <w:spacing w:after="400"/>
        <w:jc w:val="center"/>
      </w:pPr>
      <w:r>
        <w:rPr>
          <w:rFonts w:ascii="Arial" w:cs="Arial" w:eastAsia="Arial" w:hAnsi="Arial"/>
          <w:b/>
          <w:bCs/>
          <w:color w:val="2E75B6"/>
          <w:sz w:val="24"/>
          <w:szCs w:val="24"/>
        </w:rPr>
        <w:t xml:space="preserve">SRIDHAR CONSULTANCY AND IT SERVICES</w:t>
      </w:r>
    </w:p>
    <w:p>
      <w:pPr>
        <w:pBdr>
          <w:bottom w:val="single" w:color="1F4E79" w:sz="18" w:space="1"/>
        </w:pBdr>
        <w:spacing w:after="300"/>
        <w:jc w:val="center"/>
      </w:pPr>
      <w:r>
        <w:rPr>
          <w:rFonts w:ascii="Arial" w:cs="Arial" w:eastAsia="Arial" w:hAnsi="Arial"/>
          <w:b/>
          <w:bCs/>
          <w:color w:val="1F4E79"/>
          <w:sz w:val="40"/>
          <w:szCs w:val="40"/>
        </w:rPr>
        <w:t xml:space="preserve">PROJECT REPORT</w:t>
      </w:r>
    </w:p>
    <w:p>
      <w:pPr>
        <w:spacing w:after="100" w:before="200"/>
        <w:jc w:val="center"/>
      </w:pPr>
      <w:r>
        <w:rPr>
          <w:rFonts w:ascii="Arial" w:cs="Arial" w:eastAsia="Arial" w:hAnsi="Arial"/>
          <w:b/>
          <w:bCs/>
          <w:color w:val="2E75B6"/>
          <w:sz w:val="36"/>
          <w:szCs w:val="36"/>
        </w:rPr>
        <w:t xml:space="preserve">SoftTech Fellowship Programme</w:t>
      </w:r>
    </w:p>
    <w:p>
      <w:pPr>
        <w:spacing w:after="400"/>
        <w:jc w:val="center"/>
      </w:pPr>
      <w:r>
        <w:rPr>
          <w:rFonts w:ascii="Arial" w:cs="Arial" w:eastAsia="Arial" w:hAnsi="Arial"/>
          <w:i/>
          <w:iCs/>
          <w:color w:val="404040"/>
          <w:sz w:val="24"/>
          <w:szCs w:val="24"/>
        </w:rPr>
        <w:t xml:space="preserve">Empowering Tech Students for Industry-Ready Careers</w:t>
      </w:r>
    </w:p>
    <w:p>
      <w:pPr>
        <w:spacing w:before="200"/>
        <w:jc w:val="center"/>
      </w:pPr>
      <w:r>
        <w:rPr>
          <w:rFonts w:ascii="Arial" w:cs="Arial" w:eastAsia="Arial" w:hAnsi="Arial"/>
          <w:color w:val="666666"/>
          <w:sz w:val="20"/>
          <w:szCs w:val="20"/>
        </w:rPr>
        <w:t xml:space="preserve">A Comprehensive Industry-Aligned Skill Development &amp; Placement-Oriented Fellowship</w:t>
      </w:r>
    </w:p>
    <w:p>
      <w:pPr>
        <w:spacing w:before="600"/>
        <w:jc w:val="center"/>
      </w:pPr>
      <w:r>
        <w:rPr>
          <w:rFonts w:ascii="Arial" w:cs="Arial" w:eastAsia="Arial" w:hAnsi="Arial"/>
          <w:color w:val="666666"/>
          <w:sz w:val="20"/>
          <w:szCs w:val="20"/>
        </w:rPr>
        <w:t xml:space="preserve">Submitted by</w:t>
      </w:r>
    </w:p>
    <w:p>
      <w:pPr>
        <w:spacing w:before="80"/>
        <w:jc w:val="center"/>
      </w:pPr>
      <w:r>
        <w:rPr>
          <w:rFonts w:ascii="Arial" w:cs="Arial" w:eastAsia="Arial" w:hAnsi="Arial"/>
          <w:b/>
          <w:bCs/>
          <w:sz w:val="22"/>
          <w:szCs w:val="22"/>
        </w:rPr>
        <w:t xml:space="preserve">Programme Management Team</w:t>
      </w:r>
    </w:p>
    <w:p>
      <w:pPr>
        <w:spacing w:before="40"/>
        <w:jc w:val="center"/>
      </w:pPr>
      <w:r>
        <w:rPr>
          <w:rFonts w:ascii="Arial" w:cs="Arial" w:eastAsia="Arial" w:hAnsi="Arial"/>
          <w:sz w:val="20"/>
          <w:szCs w:val="20"/>
        </w:rPr>
        <w:t xml:space="preserve">Sri Vara Laxmi Sridhar Foundation</w:t>
      </w:r>
    </w:p>
    <w:p>
      <w:pPr>
        <w:spacing w:before="400"/>
        <w:jc w:val="center"/>
      </w:pPr>
      <w:r>
        <w:rPr>
          <w:rFonts w:ascii="Arial" w:cs="Arial" w:eastAsia="Arial" w:hAnsi="Arial"/>
          <w:color w:val="404040"/>
          <w:sz w:val="20"/>
          <w:szCs w:val="20"/>
        </w:rPr>
        <w:t xml:space="preserve">Academic Year / Cohort: 2026–27</w:t>
      </w:r>
    </w:p>
    <w:p>
      <w:pPr>
        <w:spacing w:before="80"/>
        <w:jc w:val="center"/>
      </w:pPr>
      <w:r>
        <w:rPr>
          <w:rFonts w:ascii="Arial" w:cs="Arial" w:eastAsia="Arial" w:hAnsi="Arial"/>
          <w:color w:val="666666"/>
          <w:sz w:val="18"/>
          <w:szCs w:val="18"/>
        </w:rPr>
        <w:t xml:space="preserve">Document Version: 1.0  |  September 2026</w:t>
      </w:r>
    </w:p>
    <w:p>
      <w:r>
        <w:br w:type="page"/>
      </w:r>
    </w:p>
    <w:p>
      <w:pPr>
        <w:pStyle w:val="Heading1"/>
      </w:pPr>
      <w:r>
        <w:t xml:space="preserve">Table of Contents</w:t>
      </w:r>
    </w:p>
    <w:p>
      <w:pPr>
        <w:spacing w:after="80"/>
      </w:pPr>
      <w:r>
        <w:rPr>
          <w:sz w:val="22"/>
          <w:szCs w:val="22"/>
        </w:rPr>
        <w:t xml:space="preserve">1. Executive Summary</w:t>
      </w:r>
    </w:p>
    <w:p>
      <w:pPr>
        <w:spacing w:after="80"/>
      </w:pPr>
      <w:r>
        <w:rPr>
          <w:sz w:val="22"/>
          <w:szCs w:val="22"/>
        </w:rPr>
        <w:t xml:space="preserve">2. Introduction and Background</w:t>
      </w:r>
    </w:p>
    <w:p>
      <w:pPr>
        <w:spacing w:after="80"/>
      </w:pPr>
      <w:r>
        <w:rPr>
          <w:sz w:val="22"/>
          <w:szCs w:val="22"/>
        </w:rPr>
        <w:t xml:space="preserve">3. About the Organizations</w:t>
      </w:r>
    </w:p>
    <w:p>
      <w:pPr>
        <w:spacing w:after="80"/>
      </w:pPr>
      <w:r>
        <w:rPr>
          <w:sz w:val="22"/>
          <w:szCs w:val="22"/>
        </w:rPr>
        <w:t xml:space="preserve">4. Vision, Mission and Objectives</w:t>
      </w:r>
    </w:p>
    <w:p>
      <w:pPr>
        <w:spacing w:after="80"/>
      </w:pPr>
      <w:r>
        <w:rPr>
          <w:sz w:val="22"/>
          <w:szCs w:val="22"/>
        </w:rPr>
        <w:t xml:space="preserve">5. Programme Overview</w:t>
      </w:r>
    </w:p>
    <w:p>
      <w:pPr>
        <w:spacing w:after="80"/>
      </w:pPr>
      <w:r>
        <w:rPr>
          <w:sz w:val="22"/>
          <w:szCs w:val="22"/>
        </w:rPr>
        <w:t xml:space="preserve">6. Curriculum Framework and Learning Pathways</w:t>
      </w:r>
    </w:p>
    <w:p>
      <w:pPr>
        <w:spacing w:after="80"/>
      </w:pPr>
      <w:r>
        <w:rPr>
          <w:sz w:val="22"/>
          <w:szCs w:val="22"/>
        </w:rPr>
        <w:t xml:space="preserve">7. Eligibility Criteria and Selection Process</w:t>
      </w:r>
    </w:p>
    <w:p>
      <w:pPr>
        <w:spacing w:after="80"/>
      </w:pPr>
      <w:r>
        <w:rPr>
          <w:sz w:val="22"/>
          <w:szCs w:val="22"/>
        </w:rPr>
        <w:t xml:space="preserve">8. Benefits and Support Framework</w:t>
      </w:r>
    </w:p>
    <w:p>
      <w:pPr>
        <w:spacing w:after="80"/>
      </w:pPr>
      <w:r>
        <w:rPr>
          <w:sz w:val="22"/>
          <w:szCs w:val="22"/>
        </w:rPr>
        <w:t xml:space="preserve">9. Implementation Plan and Timeline</w:t>
      </w:r>
    </w:p>
    <w:p>
      <w:pPr>
        <w:spacing w:after="80"/>
      </w:pPr>
      <w:r>
        <w:rPr>
          <w:sz w:val="22"/>
          <w:szCs w:val="22"/>
        </w:rPr>
        <w:t xml:space="preserve">10. Mentorship, Industry Connect and Placement Support</w:t>
      </w:r>
    </w:p>
    <w:p>
      <w:pPr>
        <w:spacing w:after="80"/>
      </w:pPr>
      <w:r>
        <w:rPr>
          <w:sz w:val="22"/>
          <w:szCs w:val="22"/>
        </w:rPr>
        <w:t xml:space="preserve">11. Monitoring, Evaluation and Quality Assurance</w:t>
      </w:r>
    </w:p>
    <w:p>
      <w:pPr>
        <w:spacing w:after="80"/>
      </w:pPr>
      <w:r>
        <w:rPr>
          <w:sz w:val="22"/>
          <w:szCs w:val="22"/>
        </w:rPr>
        <w:t xml:space="preserve">12. Expected Outcomes and Impact</w:t>
      </w:r>
    </w:p>
    <w:p>
      <w:pPr>
        <w:spacing w:after="80"/>
      </w:pPr>
      <w:r>
        <w:rPr>
          <w:sz w:val="22"/>
          <w:szCs w:val="22"/>
        </w:rPr>
        <w:t xml:space="preserve">13. Risk Management and Mitigation</w:t>
      </w:r>
    </w:p>
    <w:p>
      <w:pPr>
        <w:spacing w:after="80"/>
      </w:pPr>
      <w:r>
        <w:rPr>
          <w:sz w:val="22"/>
          <w:szCs w:val="22"/>
        </w:rPr>
        <w:t xml:space="preserve">14. Budget Overview (Indicative)</w:t>
      </w:r>
    </w:p>
    <w:p>
      <w:pPr>
        <w:spacing w:after="80"/>
      </w:pPr>
      <w:r>
        <w:rPr>
          <w:sz w:val="22"/>
          <w:szCs w:val="22"/>
        </w:rPr>
        <w:t xml:space="preserve">15. Conclusion and Way Forward</w:t>
      </w:r>
    </w:p>
    <w:p>
      <w:pPr>
        <w:spacing w:after="80"/>
      </w:pPr>
      <w:r>
        <w:rPr>
          <w:sz w:val="22"/>
          <w:szCs w:val="22"/>
        </w:rPr>
        <w:t xml:space="preserve">16. Annexures</w:t>
      </w:r>
    </w:p>
    <w:p>
      <w:r>
        <w:br w:type="page"/>
      </w:r>
    </w:p>
    <w:p>
      <w:pPr>
        <w:pStyle w:val="Heading1"/>
      </w:pPr>
      <w:r>
        <w:t xml:space="preserve">1. Executive Summary</w:t>
      </w:r>
    </w:p>
    <w:p>
      <w:pPr>
        <w:spacing w:after="160"/>
      </w:pPr>
      <w:r>
        <w:rPr>
          <w:sz w:val="22"/>
          <w:szCs w:val="22"/>
        </w:rPr>
        <w:t xml:space="preserve">The SoftTech Fellowship is a flagship skill-development and career-acceleration initiative of the Sri Vara Laxmi Sridhar Foundation, delivered in strategic partnership with Sridhar Consultancy and IT Services. Designed exclusively for technology students and recent graduates, the programme bridges the persistent gap between academic learning and industry requirements in software engineering, emerging technologies, and digital product development.</w:t>
      </w:r>
    </w:p>
    <w:p>
      <w:pPr>
        <w:spacing w:after="160"/>
      </w:pPr>
      <w:r>
        <w:rPr>
          <w:sz w:val="22"/>
          <w:szCs w:val="22"/>
        </w:rPr>
        <w:t xml:space="preserve">Spanning 16–24 weeks (depending on the chosen track), the fellowship combines rigorous technical training, real-world project experience, structured mentorship by industry practitioners, and dedicated placement assistance. The programme prioritizes merit, inclusivity, and employability, with special emphasis on students from economically weaker sections and underrepresented backgrounds while remaining open to all eligible tech aspirants.</w:t>
      </w:r>
    </w:p>
    <w:p>
      <w:pPr>
        <w:spacing w:after="160"/>
      </w:pPr>
      <w:r>
        <w:rPr>
          <w:sz w:val="22"/>
          <w:szCs w:val="22"/>
        </w:rPr>
        <w:t xml:space="preserve">Key highlights of the SoftTech Fellowship include:</w:t>
      </w:r>
    </w:p>
    <w:p>
      <w:pPr>
        <w:pStyle w:val="ListParagraph"/>
        <w:numPr>
          <w:ilvl w:val="0"/>
          <w:numId w:val="2"/>
        </w:numPr>
      </w:pPr>
      <w:r>
        <w:rPr>
          <w:sz w:val="22"/>
          <w:szCs w:val="22"/>
        </w:rPr>
        <w:t xml:space="preserve">Industry-aligned curriculum covering Full Stack Development, Cloud &amp; DevOps, Data Science &amp; AI/ML, Software Testing, and Cybersecurity tracks.</w:t>
      </w:r>
    </w:p>
    <w:p>
      <w:pPr>
        <w:pStyle w:val="ListParagraph"/>
        <w:numPr>
          <w:ilvl w:val="0"/>
          <w:numId w:val="2"/>
        </w:numPr>
      </w:pPr>
      <w:r>
        <w:rPr>
          <w:sz w:val="22"/>
          <w:szCs w:val="22"/>
        </w:rPr>
        <w:t xml:space="preserve">Hands-on capstone projects solving real business problems under the guidance of practising technologists.</w:t>
      </w:r>
    </w:p>
    <w:p>
      <w:pPr>
        <w:pStyle w:val="ListParagraph"/>
        <w:numPr>
          <w:ilvl w:val="0"/>
          <w:numId w:val="2"/>
        </w:numPr>
      </w:pPr>
      <w:r>
        <w:rPr>
          <w:sz w:val="22"/>
          <w:szCs w:val="22"/>
        </w:rPr>
        <w:t xml:space="preserve">One-to-one and group mentorship by professionals from leading IT services and product companies.</w:t>
      </w:r>
    </w:p>
    <w:p>
      <w:pPr>
        <w:pStyle w:val="ListParagraph"/>
        <w:numPr>
          <w:ilvl w:val="0"/>
          <w:numId w:val="2"/>
        </w:numPr>
      </w:pPr>
      <w:r>
        <w:rPr>
          <w:sz w:val="22"/>
          <w:szCs w:val="22"/>
        </w:rPr>
        <w:t xml:space="preserve">Soft-skills, professional communication, and interview readiness modules.</w:t>
      </w:r>
    </w:p>
    <w:p>
      <w:pPr>
        <w:pStyle w:val="ListParagraph"/>
        <w:numPr>
          <w:ilvl w:val="0"/>
          <w:numId w:val="2"/>
        </w:numPr>
      </w:pPr>
      <w:r>
        <w:rPr>
          <w:sz w:val="22"/>
          <w:szCs w:val="22"/>
        </w:rPr>
        <w:t xml:space="preserve">Stipend support for selected deserving candidates and 100% placement assistance for all successful fellows.</w:t>
      </w:r>
    </w:p>
    <w:p>
      <w:pPr>
        <w:pStyle w:val="ListParagraph"/>
        <w:numPr>
          <w:ilvl w:val="0"/>
          <w:numId w:val="2"/>
        </w:numPr>
        <w:spacing w:after="200"/>
      </w:pPr>
      <w:r>
        <w:rPr>
          <w:sz w:val="22"/>
          <w:szCs w:val="22"/>
        </w:rPr>
        <w:t xml:space="preserve">Certification jointly issued by the Foundation and Sridhar Consultancy and IT Services upon successful completion.</w:t>
      </w:r>
    </w:p>
    <w:p>
      <w:pPr>
        <w:spacing w:after="160"/>
      </w:pPr>
      <w:r>
        <w:rPr>
          <w:sz w:val="22"/>
          <w:szCs w:val="22"/>
        </w:rPr>
        <w:t xml:space="preserve">This Project Report presents the complete design, operational framework, academic structure, implementation roadmap, and expected socio-economic impact of the SoftTech Fellowship Programme for the 2026–27 cycle and beyond.</w:t>
      </w:r>
    </w:p>
    <w:p>
      <w:pPr>
        <w:pStyle w:val="Heading1"/>
      </w:pPr>
      <w:r>
        <w:t xml:space="preserve">2. Introduction and Background</w:t>
      </w:r>
    </w:p>
    <w:p>
      <w:pPr>
        <w:pStyle w:val="Heading2"/>
      </w:pPr>
      <w:r>
        <w:t xml:space="preserve">2.1 The Employability Challenge in Indian Tech Education</w:t>
      </w:r>
    </w:p>
    <w:p>
      <w:pPr>
        <w:spacing w:after="160"/>
      </w:pPr>
      <w:r>
        <w:rPr>
          <w:sz w:val="22"/>
          <w:szCs w:val="22"/>
        </w:rPr>
        <w:t xml:space="preserve">India produces one of the largest numbers of engineering and technology graduates in the world every year. Yet industry surveys consistently highlight a significant skills gap: a large proportion of fresh graduates lack the practical coding proficiency, system-design thinking, modern tool familiarity, and professional readiness required by employers. This mismatch results in prolonged job-search periods, underemployment, and loss of productive human capital.</w:t>
      </w:r>
    </w:p>
    <w:p>
      <w:pPr>
        <w:spacing w:after="160"/>
      </w:pPr>
      <w:r>
        <w:rPr>
          <w:sz w:val="22"/>
          <w:szCs w:val="22"/>
        </w:rPr>
        <w:t xml:space="preserve">Rapid technological evolution—cloud-native architectures, artificial intelligence, data-driven decision systems, and heightened cybersecurity requirements—has further widened the gap between traditional curricula and workplace expectations. Structured, intensive, industry-partnered fellowship models have emerged as an effective mechanism to accelerate the transition of capable students into productive technology professionals.</w:t>
      </w:r>
    </w:p>
    <w:p>
      <w:pPr>
        <w:pStyle w:val="Heading2"/>
      </w:pPr>
      <w:r>
        <w:t xml:space="preserve">2.2 Rationale for the SoftTech Fellowship</w:t>
      </w:r>
    </w:p>
    <w:p>
      <w:pPr>
        <w:spacing w:after="160"/>
      </w:pPr>
      <w:r>
        <w:rPr>
          <w:sz w:val="22"/>
          <w:szCs w:val="22"/>
        </w:rPr>
        <w:t xml:space="preserve">Recognising this national challenge and the Foundation’s commitment to educational equity and youth empowerment, the Sri Vara Laxmi Sridhar Foundation, in partnership with Sridhar Consultancy and IT Services, conceived the SoftTech Fellowship. The programme is deliberately designed to be:</w:t>
      </w:r>
    </w:p>
    <w:p>
      <w:pPr>
        <w:pStyle w:val="ListParagraph"/>
        <w:numPr>
          <w:ilvl w:val="0"/>
          <w:numId w:val="2"/>
        </w:numPr>
      </w:pPr>
      <w:r>
        <w:rPr>
          <w:sz w:val="22"/>
          <w:szCs w:val="22"/>
        </w:rPr>
        <w:t xml:space="preserve">Practical and project-centric rather than purely theoretical.</w:t>
      </w:r>
    </w:p>
    <w:p>
      <w:pPr>
        <w:pStyle w:val="ListParagraph"/>
        <w:numPr>
          <w:ilvl w:val="0"/>
          <w:numId w:val="2"/>
        </w:numPr>
      </w:pPr>
      <w:r>
        <w:rPr>
          <w:sz w:val="22"/>
          <w:szCs w:val="22"/>
        </w:rPr>
        <w:t xml:space="preserve">Accessible to meritorious students regardless of economic background.</w:t>
      </w:r>
    </w:p>
    <w:p>
      <w:pPr>
        <w:pStyle w:val="ListParagraph"/>
        <w:numPr>
          <w:ilvl w:val="0"/>
          <w:numId w:val="2"/>
        </w:numPr>
      </w:pPr>
      <w:r>
        <w:rPr>
          <w:sz w:val="22"/>
          <w:szCs w:val="22"/>
        </w:rPr>
        <w:t xml:space="preserve">Aligned with current and emerging hiring patterns of product companies, IT services firms, and startups.</w:t>
      </w:r>
    </w:p>
    <w:p>
      <w:pPr>
        <w:pStyle w:val="ListParagraph"/>
        <w:numPr>
          <w:ilvl w:val="0"/>
          <w:numId w:val="2"/>
        </w:numPr>
        <w:spacing w:after="200"/>
      </w:pPr>
      <w:r>
        <w:rPr>
          <w:sz w:val="22"/>
          <w:szCs w:val="22"/>
        </w:rPr>
        <w:t xml:space="preserve">Supported by continuous mentorship and structured placement facilitation.</w:t>
      </w:r>
    </w:p>
    <w:p>
      <w:pPr>
        <w:pStyle w:val="Heading1"/>
      </w:pPr>
      <w:r>
        <w:t xml:space="preserve">3. About the Organizations</w:t>
      </w:r>
    </w:p>
    <w:p>
      <w:pPr>
        <w:pStyle w:val="Heading2"/>
      </w:pPr>
      <w:r>
        <w:t xml:space="preserve">3.1 Sri Vara Laxmi Sridhar Foundation</w:t>
      </w:r>
    </w:p>
    <w:p>
      <w:pPr>
        <w:spacing w:after="160"/>
      </w:pPr>
      <w:r>
        <w:rPr>
          <w:sz w:val="22"/>
          <w:szCs w:val="22"/>
        </w:rPr>
        <w:t xml:space="preserve">Sri Vara Laxmi Sridhar Foundation is a non-profit organisation dedicated to the holistic development of youth through education, skill building, and livelihood enablement. Named in honour of the values of knowledge, prosperity, and service, the Foundation works primarily in the domains of technical education support, scholarship programmes, community learning centres, and career guidance for underprivileged and first-generation learners.</w:t>
      </w:r>
    </w:p>
    <w:p>
      <w:pPr>
        <w:spacing w:after="160"/>
      </w:pPr>
      <w:r>
        <w:rPr>
          <w:sz w:val="22"/>
          <w:szCs w:val="22"/>
        </w:rPr>
        <w:t xml:space="preserve">The Foundation believes that access to high-quality technical training and professional networks should not be limited by socio-economic circumstances. SoftTech Fellowship represents one of its most ambitious interventions aimed at creating a pipeline of industry-ready technology professionals who can contribute meaningfully to India’s digital economy.</w:t>
      </w:r>
    </w:p>
    <w:p>
      <w:pPr>
        <w:pStyle w:val="Heading2"/>
      </w:pPr>
      <w:r>
        <w:t xml:space="preserve">3.2 Sridhar Consultancy and IT Services</w:t>
      </w:r>
    </w:p>
    <w:p>
      <w:pPr>
        <w:spacing w:after="160"/>
      </w:pPr>
      <w:r>
        <w:rPr>
          <w:sz w:val="22"/>
          <w:szCs w:val="22"/>
        </w:rPr>
        <w:t xml:space="preserve">Sridhar Consultancy and IT Services is a technology services and consulting organisation with deep expertise in software engineering, digital transformation, enterprise solutions, and IT talent development. The organisation brings industry credibility, real-world project exposure, experienced mentors, and hiring network connections that are essential for a high-impact fellowship programme.</w:t>
      </w:r>
    </w:p>
    <w:p>
      <w:pPr>
        <w:spacing w:after="160"/>
      </w:pPr>
      <w:r>
        <w:rPr>
          <w:sz w:val="22"/>
          <w:szCs w:val="22"/>
        </w:rPr>
        <w:t xml:space="preserve">As the knowledge and delivery partner, Sridhar Consultancy and IT Services is responsible for curriculum design, faculty and mentor engagement, project allocation, technical assessments, and industry interface throughout the fellowship journey.</w:t>
      </w:r>
    </w:p>
    <w:p>
      <w:pPr>
        <w:pStyle w:val="Heading2"/>
      </w:pPr>
      <w:r>
        <w:t xml:space="preserve">3.3 Partnership Model</w:t>
      </w:r>
    </w:p>
    <w:p>
      <w:pPr>
        <w:spacing w:after="160"/>
      </w:pPr>
      <w:r>
        <w:rPr>
          <w:sz w:val="22"/>
          <w:szCs w:val="22"/>
        </w:rPr>
        <w:t xml:space="preserve">The partnership operates on a collaborative governance model. The Foundation provides strategic direction, funding support for scholarships and stipends, outreach to educational institutions, and overall programme stewardship. Sridhar Consultancy and IT Services leads academic and technical delivery, mentor management, quality assurance of training, and placement coordination. Joint review committees monitor progress and continuously refine the programme based on learner and employer feedback.</w:t>
      </w:r>
    </w:p>
    <w:p>
      <w:pPr>
        <w:pStyle w:val="Heading1"/>
      </w:pPr>
      <w:r>
        <w:t xml:space="preserve">4. Vision, Mission and Objectives</w:t>
      </w:r>
    </w:p>
    <w:p>
      <w:pPr>
        <w:pStyle w:val="Heading2"/>
      </w:pPr>
      <w:r>
        <w:t xml:space="preserve">4.1 Vision</w:t>
      </w:r>
    </w:p>
    <w:p>
      <w:pPr>
        <w:spacing w:after="160"/>
      </w:pPr>
      <w:r>
        <w:rPr>
          <w:sz w:val="22"/>
          <w:szCs w:val="22"/>
        </w:rPr>
        <w:t xml:space="preserve">To create a generation of ethically grounded, technically proficient, and professionally confident technology professionals who contribute to inclusive digital growth and national development.</w:t>
      </w:r>
    </w:p>
    <w:p>
      <w:pPr>
        <w:pStyle w:val="Heading2"/>
      </w:pPr>
      <w:r>
        <w:t xml:space="preserve">4.2 Mission</w:t>
      </w:r>
    </w:p>
    <w:p>
      <w:pPr>
        <w:spacing w:after="160"/>
      </w:pPr>
      <w:r>
        <w:rPr>
          <w:sz w:val="22"/>
          <w:szCs w:val="22"/>
        </w:rPr>
        <w:t xml:space="preserve">To deliver an intensive, mentorship-rich SoftTech Fellowship that transforms motivated tech students into industry-ready practitioners through project-based learning, real-world exposure, and structured career support—while ensuring equitable access for talented youth from diverse socio-economic backgrounds.</w:t>
      </w:r>
    </w:p>
    <w:p>
      <w:pPr>
        <w:pStyle w:val="Heading2"/>
      </w:pPr>
      <w:r>
        <w:t xml:space="preserve">4.3 Specific Objectives</w:t>
      </w:r>
    </w:p>
    <w:p>
      <w:pPr>
        <w:pStyle w:val="ListParagraph"/>
        <w:numPr>
          <w:ilvl w:val="0"/>
          <w:numId w:val="3"/>
        </w:numPr>
      </w:pPr>
      <w:r>
        <w:rPr>
          <w:sz w:val="22"/>
          <w:szCs w:val="22"/>
        </w:rPr>
        <w:t xml:space="preserve">Equip participants with job-ready technical competencies in high-demand technology domains.</w:t>
      </w:r>
    </w:p>
    <w:p>
      <w:pPr>
        <w:pStyle w:val="ListParagraph"/>
        <w:numPr>
          <w:ilvl w:val="0"/>
          <w:numId w:val="3"/>
        </w:numPr>
      </w:pPr>
      <w:r>
        <w:rPr>
          <w:sz w:val="22"/>
          <w:szCs w:val="22"/>
        </w:rPr>
        <w:t xml:space="preserve">Develop professional behaviours, communication skills, and workplace readiness.</w:t>
      </w:r>
    </w:p>
    <w:p>
      <w:pPr>
        <w:pStyle w:val="ListParagraph"/>
        <w:numPr>
          <w:ilvl w:val="0"/>
          <w:numId w:val="3"/>
        </w:numPr>
      </w:pPr>
      <w:r>
        <w:rPr>
          <w:sz w:val="22"/>
          <w:szCs w:val="22"/>
        </w:rPr>
        <w:t xml:space="preserve">Provide meaningful project experience that can be showcased in portfolios and interviews.</w:t>
      </w:r>
    </w:p>
    <w:p>
      <w:pPr>
        <w:pStyle w:val="ListParagraph"/>
        <w:numPr>
          <w:ilvl w:val="0"/>
          <w:numId w:val="3"/>
        </w:numPr>
      </w:pPr>
      <w:r>
        <w:rPr>
          <w:sz w:val="22"/>
          <w:szCs w:val="22"/>
        </w:rPr>
        <w:t xml:space="preserve">Facilitate direct engagement with industry mentors and potential employers.</w:t>
      </w:r>
    </w:p>
    <w:p>
      <w:pPr>
        <w:pStyle w:val="ListParagraph"/>
        <w:numPr>
          <w:ilvl w:val="0"/>
          <w:numId w:val="3"/>
        </w:numPr>
      </w:pPr>
      <w:r>
        <w:rPr>
          <w:sz w:val="22"/>
          <w:szCs w:val="22"/>
        </w:rPr>
        <w:t xml:space="preserve">Support successful placement or meaningful internship/apprenticeship outcomes for the majority of fellows.</w:t>
      </w:r>
    </w:p>
    <w:p>
      <w:pPr>
        <w:pStyle w:val="ListParagraph"/>
        <w:numPr>
          <w:ilvl w:val="0"/>
          <w:numId w:val="3"/>
        </w:numPr>
      </w:pPr>
      <w:r>
        <w:rPr>
          <w:sz w:val="22"/>
          <w:szCs w:val="22"/>
        </w:rPr>
        <w:t xml:space="preserve">Promote inclusion by prioritising meritorious candidates from economically weaker sections, rural backgrounds, and underrepresented groups.</w:t>
      </w:r>
    </w:p>
    <w:p>
      <w:pPr>
        <w:pStyle w:val="ListParagraph"/>
        <w:numPr>
          <w:ilvl w:val="0"/>
          <w:numId w:val="3"/>
        </w:numPr>
        <w:spacing w:after="200"/>
      </w:pPr>
      <w:r>
        <w:rPr>
          <w:sz w:val="22"/>
          <w:szCs w:val="22"/>
        </w:rPr>
        <w:t xml:space="preserve">Establish a sustainable, scalable fellowship model that can be expanded to additional cohorts and locations.</w:t>
      </w:r>
    </w:p>
    <w:p>
      <w:pPr>
        <w:pStyle w:val="Heading1"/>
      </w:pPr>
      <w:r>
        <w:t xml:space="preserve">5. Programme Overview</w:t>
      </w:r>
    </w:p>
    <w:p>
      <w:pPr>
        <w:pStyle w:val="Heading2"/>
      </w:pPr>
      <w:r>
        <w:t xml:space="preserve">5.1 Programme Identity</w:t>
      </w:r>
    </w:p>
    <w:p>
      <w:pPr>
        <w:spacing w:after="120"/>
      </w:pPr>
      <w:r>
        <w:rPr>
          <w:b/>
          <w:bCs/>
          <w:sz w:val="22"/>
          <w:szCs w:val="22"/>
        </w:rPr>
        <w:t xml:space="preserve">Name: </w:t>
      </w:r>
      <w:r>
        <w:rPr>
          <w:sz w:val="22"/>
          <w:szCs w:val="22"/>
        </w:rPr>
        <w:t xml:space="preserve">SoftTech Fellowship</w:t>
      </w:r>
    </w:p>
    <w:p>
      <w:pPr>
        <w:spacing w:after="120"/>
      </w:pPr>
      <w:r>
        <w:rPr>
          <w:b/>
          <w:bCs/>
          <w:sz w:val="22"/>
          <w:szCs w:val="22"/>
        </w:rPr>
        <w:t xml:space="preserve">Offered by: </w:t>
      </w:r>
      <w:r>
        <w:rPr>
          <w:sz w:val="22"/>
          <w:szCs w:val="22"/>
        </w:rPr>
        <w:t xml:space="preserve">Sri Vara Laxmi Sridhar Foundation</w:t>
      </w:r>
    </w:p>
    <w:p>
      <w:pPr>
        <w:spacing w:after="120"/>
      </w:pPr>
      <w:r>
        <w:rPr>
          <w:b/>
          <w:bCs/>
          <w:sz w:val="22"/>
          <w:szCs w:val="22"/>
        </w:rPr>
        <w:t xml:space="preserve">Knowledge &amp; Delivery Partner: </w:t>
      </w:r>
      <w:r>
        <w:rPr>
          <w:sz w:val="22"/>
          <w:szCs w:val="22"/>
        </w:rPr>
        <w:t xml:space="preserve">Sridhar Consultancy and IT Services</w:t>
      </w:r>
    </w:p>
    <w:p>
      <w:pPr>
        <w:spacing w:after="120"/>
      </w:pPr>
      <w:r>
        <w:rPr>
          <w:b/>
          <w:bCs/>
          <w:sz w:val="22"/>
          <w:szCs w:val="22"/>
        </w:rPr>
        <w:t xml:space="preserve">Target Audience: </w:t>
      </w:r>
      <w:r>
        <w:rPr>
          <w:sz w:val="22"/>
          <w:szCs w:val="22"/>
        </w:rPr>
        <w:t xml:space="preserve">Final-year undergraduate / postgraduate students and recent graduates (within 24 months) in Computer Science, Information Technology, Electronics, and allied engineering or science disciplines.</w:t>
      </w:r>
    </w:p>
    <w:p>
      <w:pPr>
        <w:spacing w:after="120"/>
      </w:pPr>
      <w:r>
        <w:rPr>
          <w:b/>
          <w:bCs/>
          <w:sz w:val="22"/>
          <w:szCs w:val="22"/>
        </w:rPr>
        <w:t xml:space="preserve">Duration: </w:t>
      </w:r>
      <w:r>
        <w:rPr>
          <w:sz w:val="22"/>
          <w:szCs w:val="22"/>
        </w:rPr>
        <w:t xml:space="preserve">16 weeks (Standard Track) / 20–24 weeks (Advanced / Specialisation Track)</w:t>
      </w:r>
    </w:p>
    <w:p>
      <w:pPr>
        <w:spacing w:after="120"/>
      </w:pPr>
      <w:r>
        <w:rPr>
          <w:b/>
          <w:bCs/>
          <w:sz w:val="22"/>
          <w:szCs w:val="22"/>
        </w:rPr>
        <w:t xml:space="preserve">Mode: </w:t>
      </w:r>
      <w:r>
        <w:rPr>
          <w:sz w:val="22"/>
          <w:szCs w:val="22"/>
        </w:rPr>
        <w:t xml:space="preserve">Hybrid (intensive online learning modules + periodic in-person workshops / project reviews / placement drives as feasible)</w:t>
      </w:r>
    </w:p>
    <w:p>
      <w:pPr>
        <w:spacing w:after="200"/>
      </w:pPr>
      <w:r>
        <w:rPr>
          <w:b/>
          <w:bCs/>
          <w:sz w:val="22"/>
          <w:szCs w:val="22"/>
        </w:rPr>
        <w:t xml:space="preserve">Intake (indicative per cohort): </w:t>
      </w:r>
      <w:r>
        <w:rPr>
          <w:sz w:val="22"/>
          <w:szCs w:val="22"/>
        </w:rPr>
        <w:t xml:space="preserve">40–60 fellows</w:t>
      </w:r>
    </w:p>
    <w:p>
      <w:pPr>
        <w:pStyle w:val="Heading2"/>
      </w:pPr>
      <w:r>
        <w:t xml:space="preserve">5.2 Programme Tracks</w:t>
      </w:r>
    </w:p>
    <w:p>
      <w:pPr>
        <w:spacing w:after="120"/>
      </w:pPr>
      <w:r>
        <w:rPr>
          <w:sz w:val="22"/>
          <w:szCs w:val="22"/>
        </w:rPr>
        <w:t xml:space="preserve">Fellows choose one primary technical track after a common foundation phase:</w:t>
      </w:r>
    </w:p>
    <w:p>
      <w:pPr>
        <w:pStyle w:val="ListParagraph"/>
        <w:numPr>
          <w:ilvl w:val="0"/>
          <w:numId w:val="4"/>
        </w:numPr>
      </w:pPr>
      <w:r>
        <w:rPr>
          <w:sz w:val="22"/>
          <w:szCs w:val="22"/>
        </w:rPr>
        <w:t xml:space="preserve">Full Stack Web Development (Frontend + Backend + Databases + Deployment)</w:t>
      </w:r>
    </w:p>
    <w:p>
      <w:pPr>
        <w:pStyle w:val="ListParagraph"/>
        <w:numPr>
          <w:ilvl w:val="0"/>
          <w:numId w:val="4"/>
        </w:numPr>
      </w:pPr>
      <w:r>
        <w:rPr>
          <w:sz w:val="22"/>
          <w:szCs w:val="22"/>
        </w:rPr>
        <w:t xml:space="preserve">Cloud Computing &amp; DevOps</w:t>
      </w:r>
    </w:p>
    <w:p>
      <w:pPr>
        <w:pStyle w:val="ListParagraph"/>
        <w:numPr>
          <w:ilvl w:val="0"/>
          <w:numId w:val="4"/>
        </w:numPr>
      </w:pPr>
      <w:r>
        <w:rPr>
          <w:sz w:val="22"/>
          <w:szCs w:val="22"/>
        </w:rPr>
        <w:t xml:space="preserve">Data Science, Analytics &amp; Artificial Intelligence / Machine Learning</w:t>
      </w:r>
    </w:p>
    <w:p>
      <w:pPr>
        <w:pStyle w:val="ListParagraph"/>
        <w:numPr>
          <w:ilvl w:val="0"/>
          <w:numId w:val="4"/>
        </w:numPr>
      </w:pPr>
      <w:r>
        <w:rPr>
          <w:sz w:val="22"/>
          <w:szCs w:val="22"/>
        </w:rPr>
        <w:t xml:space="preserve">Software Quality Engineering &amp; Automation Testing</w:t>
      </w:r>
    </w:p>
    <w:p>
      <w:pPr>
        <w:pStyle w:val="ListParagraph"/>
        <w:numPr>
          <w:ilvl w:val="0"/>
          <w:numId w:val="4"/>
        </w:numPr>
        <w:spacing w:after="200"/>
      </w:pPr>
      <w:r>
        <w:rPr>
          <w:sz w:val="22"/>
          <w:szCs w:val="22"/>
        </w:rPr>
        <w:t xml:space="preserve">Cybersecurity Fundamentals &amp; Application Security (introductory-to-intermediate)</w:t>
      </w:r>
    </w:p>
    <w:p>
      <w:pPr>
        <w:pStyle w:val="Heading1"/>
      </w:pPr>
      <w:r>
        <w:t xml:space="preserve">6. Curriculum Framework and Learning Pathways</w:t>
      </w:r>
    </w:p>
    <w:p>
      <w:pPr>
        <w:pStyle w:val="Heading2"/>
      </w:pPr>
      <w:r>
        <w:t xml:space="preserve">6.1 Pedagogical Approach</w:t>
      </w:r>
    </w:p>
    <w:p>
      <w:pPr>
        <w:spacing w:after="160"/>
      </w:pPr>
      <w:r>
        <w:rPr>
          <w:sz w:val="22"/>
          <w:szCs w:val="22"/>
        </w:rPr>
        <w:t xml:space="preserve">The SoftTech Fellowship follows a progressive, competency-based learning model:</w:t>
      </w:r>
    </w:p>
    <w:p>
      <w:pPr>
        <w:pStyle w:val="ListParagraph"/>
        <w:numPr>
          <w:ilvl w:val="0"/>
          <w:numId w:val="2"/>
        </w:numPr>
      </w:pPr>
      <w:r>
        <w:rPr>
          <w:sz w:val="22"/>
          <w:szCs w:val="22"/>
        </w:rPr>
        <w:t xml:space="preserve">Foundation Phase – Core programming, problem-solving, version control, and professional tools.</w:t>
      </w:r>
    </w:p>
    <w:p>
      <w:pPr>
        <w:pStyle w:val="ListParagraph"/>
        <w:numPr>
          <w:ilvl w:val="0"/>
          <w:numId w:val="2"/>
        </w:numPr>
      </w:pPr>
      <w:r>
        <w:rPr>
          <w:sz w:val="22"/>
          <w:szCs w:val="22"/>
        </w:rPr>
        <w:t xml:space="preserve">Specialisation Phase – Deep dive into the chosen track with hands-on labs and mini-projects.</w:t>
      </w:r>
    </w:p>
    <w:p>
      <w:pPr>
        <w:pStyle w:val="ListParagraph"/>
        <w:numPr>
          <w:ilvl w:val="0"/>
          <w:numId w:val="2"/>
        </w:numPr>
      </w:pPr>
      <w:r>
        <w:rPr>
          <w:sz w:val="22"/>
          <w:szCs w:val="22"/>
        </w:rPr>
        <w:t xml:space="preserve">Capstone Phase – End-to-end project solving a realistic industry or social problem.</w:t>
      </w:r>
    </w:p>
    <w:p>
      <w:pPr>
        <w:pStyle w:val="ListParagraph"/>
        <w:numPr>
          <w:ilvl w:val="0"/>
          <w:numId w:val="2"/>
        </w:numPr>
        <w:spacing w:after="200"/>
      </w:pPr>
      <w:r>
        <w:rPr>
          <w:sz w:val="22"/>
          <w:szCs w:val="22"/>
        </w:rPr>
        <w:t xml:space="preserve">Career Readiness Phase – Resume building, mock interviews, aptitude, communication, and soft skills.</w:t>
      </w:r>
    </w:p>
    <w:p>
      <w:pPr>
        <w:pStyle w:val="Heading2"/>
      </w:pPr>
      <w:r>
        <w:t xml:space="preserve">6.2 Core Curriculum Components</w:t>
      </w:r>
    </w:p>
    <w:p>
      <w:pPr>
        <w:spacing w:after="120"/>
      </w:pPr>
      <w:r>
        <w:rPr>
          <w:sz w:val="22"/>
          <w:szCs w:val="22"/>
        </w:rPr>
        <w:t xml:space="preserve">Across all tracks, the following transversal competencies are developed:</w:t>
      </w:r>
    </w:p>
    <w:p>
      <w:pPr>
        <w:pStyle w:val="ListParagraph"/>
        <w:numPr>
          <w:ilvl w:val="0"/>
          <w:numId w:val="2"/>
        </w:numPr>
      </w:pPr>
      <w:r>
        <w:rPr>
          <w:sz w:val="22"/>
          <w:szCs w:val="22"/>
        </w:rPr>
        <w:t xml:space="preserve">Strong programming fundamentals (Python / Java / JavaScript as applicable)</w:t>
      </w:r>
    </w:p>
    <w:p>
      <w:pPr>
        <w:pStyle w:val="ListParagraph"/>
        <w:numPr>
          <w:ilvl w:val="0"/>
          <w:numId w:val="2"/>
        </w:numPr>
      </w:pPr>
      <w:r>
        <w:rPr>
          <w:sz w:val="22"/>
          <w:szCs w:val="22"/>
        </w:rPr>
        <w:t xml:space="preserve">Data structures, algorithms, and problem-solving under time constraints</w:t>
      </w:r>
    </w:p>
    <w:p>
      <w:pPr>
        <w:pStyle w:val="ListParagraph"/>
        <w:numPr>
          <w:ilvl w:val="0"/>
          <w:numId w:val="2"/>
        </w:numPr>
      </w:pPr>
      <w:r>
        <w:rPr>
          <w:sz w:val="22"/>
          <w:szCs w:val="22"/>
        </w:rPr>
        <w:t xml:space="preserve">Git, GitHub, collaborative development practices, and code reviews</w:t>
      </w:r>
    </w:p>
    <w:p>
      <w:pPr>
        <w:pStyle w:val="ListParagraph"/>
        <w:numPr>
          <w:ilvl w:val="0"/>
          <w:numId w:val="2"/>
        </w:numPr>
      </w:pPr>
      <w:r>
        <w:rPr>
          <w:sz w:val="22"/>
          <w:szCs w:val="22"/>
        </w:rPr>
        <w:t xml:space="preserve">Agile / Scrum basics and documentation hygiene</w:t>
      </w:r>
    </w:p>
    <w:p>
      <w:pPr>
        <w:pStyle w:val="ListParagraph"/>
        <w:numPr>
          <w:ilvl w:val="0"/>
          <w:numId w:val="2"/>
        </w:numPr>
      </w:pPr>
      <w:r>
        <w:rPr>
          <w:sz w:val="22"/>
          <w:szCs w:val="22"/>
        </w:rPr>
        <w:t xml:space="preserve">System design thinking at an appropriate level for early-career roles</w:t>
      </w:r>
    </w:p>
    <w:p>
      <w:pPr>
        <w:pStyle w:val="ListParagraph"/>
        <w:numPr>
          <w:ilvl w:val="0"/>
          <w:numId w:val="2"/>
        </w:numPr>
        <w:spacing w:after="200"/>
      </w:pPr>
      <w:r>
        <w:rPr>
          <w:sz w:val="22"/>
          <w:szCs w:val="22"/>
        </w:rPr>
        <w:t xml:space="preserve">Professional communication, teamwork, and workplace ethics</w:t>
      </w:r>
    </w:p>
    <w:p>
      <w:pPr>
        <w:pStyle w:val="Heading2"/>
      </w:pPr>
      <w:r>
        <w:t xml:space="preserve">6.3 Assessment Structure</w:t>
      </w:r>
    </w:p>
    <w:p>
      <w:pPr>
        <w:spacing w:after="120"/>
      </w:pPr>
      <w:r>
        <w:rPr>
          <w:sz w:val="22"/>
          <w:szCs w:val="22"/>
        </w:rPr>
        <w:t xml:space="preserve">Continuous assessment ensures learning accountability:</w:t>
      </w:r>
    </w:p>
    <w:p>
      <w:pPr>
        <w:pStyle w:val="ListParagraph"/>
        <w:numPr>
          <w:ilvl w:val="0"/>
          <w:numId w:val="2"/>
        </w:numPr>
      </w:pPr>
      <w:r>
        <w:rPr>
          <w:sz w:val="22"/>
          <w:szCs w:val="22"/>
        </w:rPr>
        <w:t xml:space="preserve">Weekly coding assignments and quizzes</w:t>
      </w:r>
    </w:p>
    <w:p>
      <w:pPr>
        <w:pStyle w:val="ListParagraph"/>
        <w:numPr>
          <w:ilvl w:val="0"/>
          <w:numId w:val="2"/>
        </w:numPr>
      </w:pPr>
      <w:r>
        <w:rPr>
          <w:sz w:val="22"/>
          <w:szCs w:val="22"/>
        </w:rPr>
        <w:t xml:space="preserve">Mid-term technical evaluation</w:t>
      </w:r>
    </w:p>
    <w:p>
      <w:pPr>
        <w:pStyle w:val="ListParagraph"/>
        <w:numPr>
          <w:ilvl w:val="0"/>
          <w:numId w:val="2"/>
        </w:numPr>
      </w:pPr>
      <w:r>
        <w:rPr>
          <w:sz w:val="22"/>
          <w:szCs w:val="22"/>
        </w:rPr>
        <w:t xml:space="preserve">Capstone project demonstration and code review</w:t>
      </w:r>
    </w:p>
    <w:p>
      <w:pPr>
        <w:pStyle w:val="ListParagraph"/>
        <w:numPr>
          <w:ilvl w:val="0"/>
          <w:numId w:val="2"/>
        </w:numPr>
      </w:pPr>
      <w:r>
        <w:rPr>
          <w:sz w:val="22"/>
          <w:szCs w:val="22"/>
        </w:rPr>
        <w:t xml:space="preserve">Soft-skills and interview performance assessment</w:t>
      </w:r>
    </w:p>
    <w:p>
      <w:pPr>
        <w:pStyle w:val="ListParagraph"/>
        <w:numPr>
          <w:ilvl w:val="0"/>
          <w:numId w:val="2"/>
        </w:numPr>
        <w:spacing w:after="200"/>
      </w:pPr>
      <w:r>
        <w:rPr>
          <w:sz w:val="22"/>
          <w:szCs w:val="22"/>
        </w:rPr>
        <w:t xml:space="preserve">Minimum attendance and assignment completion thresholds for certification eligibility</w:t>
      </w:r>
    </w:p>
    <w:p>
      <w:pPr>
        <w:pStyle w:val="Heading1"/>
      </w:pPr>
      <w:r>
        <w:t xml:space="preserve">7. Eligibility Criteria and Selection Process</w:t>
      </w:r>
    </w:p>
    <w:p>
      <w:pPr>
        <w:pStyle w:val="Heading2"/>
      </w:pPr>
      <w:r>
        <w:t xml:space="preserve">7.1 Eligibility</w:t>
      </w:r>
    </w:p>
    <w:p>
      <w:pPr>
        <w:pStyle w:val="ListParagraph"/>
        <w:numPr>
          <w:ilvl w:val="0"/>
          <w:numId w:val="2"/>
        </w:numPr>
      </w:pPr>
      <w:r>
        <w:rPr>
          <w:sz w:val="22"/>
          <w:szCs w:val="22"/>
        </w:rPr>
        <w:t xml:space="preserve">Indian nationals or persons of Indian origin currently residing in India.</w:t>
      </w:r>
    </w:p>
    <w:p>
      <w:pPr>
        <w:pStyle w:val="ListParagraph"/>
        <w:numPr>
          <w:ilvl w:val="0"/>
          <w:numId w:val="2"/>
        </w:numPr>
      </w:pPr>
      <w:r>
        <w:rPr>
          <w:sz w:val="22"/>
          <w:szCs w:val="22"/>
        </w:rPr>
        <w:t xml:space="preserve">Pursuing or having completed a degree/diploma in Computer Science, IT, Electronics, ECE, or related technical disciplines (final year students and graduates within the last 24 months preferred).</w:t>
      </w:r>
    </w:p>
    <w:p>
      <w:pPr>
        <w:pStyle w:val="ListParagraph"/>
        <w:numPr>
          <w:ilvl w:val="0"/>
          <w:numId w:val="2"/>
        </w:numPr>
      </w:pPr>
      <w:r>
        <w:rPr>
          <w:sz w:val="22"/>
          <w:szCs w:val="22"/>
        </w:rPr>
        <w:t xml:space="preserve">Demonstrated interest and basic aptitude in programming and technology (assessed through screening).</w:t>
      </w:r>
    </w:p>
    <w:p>
      <w:pPr>
        <w:pStyle w:val="ListParagraph"/>
        <w:numPr>
          <w:ilvl w:val="0"/>
          <w:numId w:val="2"/>
        </w:numPr>
      </w:pPr>
      <w:r>
        <w:rPr>
          <w:sz w:val="22"/>
          <w:szCs w:val="22"/>
        </w:rPr>
        <w:t xml:space="preserve">Willingness to commit full effort for the duration of the fellowship (part-time employment may be permitted with prior approval if it does not conflict with programme requirements).</w:t>
      </w:r>
    </w:p>
    <w:p>
      <w:pPr>
        <w:pStyle w:val="ListParagraph"/>
        <w:numPr>
          <w:ilvl w:val="0"/>
          <w:numId w:val="2"/>
        </w:numPr>
        <w:spacing w:after="200"/>
      </w:pPr>
      <w:r>
        <w:rPr>
          <w:sz w:val="22"/>
          <w:szCs w:val="22"/>
        </w:rPr>
        <w:t xml:space="preserve">Preference will be given to candidates from economically weaker sections, rural/semi-urban backgrounds, and those demonstrating high motivation and learning potential.</w:t>
      </w:r>
    </w:p>
    <w:p>
      <w:pPr>
        <w:pStyle w:val="Heading2"/>
      </w:pPr>
      <w:r>
        <w:t xml:space="preserve">7.2 Selection Process</w:t>
      </w:r>
    </w:p>
    <w:p>
      <w:pPr>
        <w:spacing w:after="120"/>
      </w:pPr>
      <w:r>
        <w:rPr>
          <w:sz w:val="22"/>
          <w:szCs w:val="22"/>
        </w:rPr>
        <w:t xml:space="preserve">A transparent, multi-stage selection process is followed:</w:t>
      </w:r>
    </w:p>
    <w:p>
      <w:pPr>
        <w:pStyle w:val="ListParagraph"/>
        <w:numPr>
          <w:ilvl w:val="0"/>
          <w:numId w:val="5"/>
        </w:numPr>
      </w:pPr>
      <w:r>
        <w:rPr>
          <w:sz w:val="22"/>
          <w:szCs w:val="22"/>
        </w:rPr>
        <w:t xml:space="preserve">Online Application – Submission of academic details, statement of purpose, and basic profile.</w:t>
      </w:r>
    </w:p>
    <w:p>
      <w:pPr>
        <w:pStyle w:val="ListParagraph"/>
        <w:numPr>
          <w:ilvl w:val="0"/>
          <w:numId w:val="5"/>
        </w:numPr>
      </w:pPr>
      <w:r>
        <w:rPr>
          <w:sz w:val="22"/>
          <w:szCs w:val="22"/>
        </w:rPr>
        <w:t xml:space="preserve">Aptitude &amp; Coding Screening – Online assessment testing logical reasoning, basic programming, and problem-solving.</w:t>
      </w:r>
    </w:p>
    <w:p>
      <w:pPr>
        <w:pStyle w:val="ListParagraph"/>
        <w:numPr>
          <w:ilvl w:val="0"/>
          <w:numId w:val="5"/>
        </w:numPr>
      </w:pPr>
      <w:r>
        <w:rPr>
          <w:sz w:val="22"/>
          <w:szCs w:val="22"/>
        </w:rPr>
        <w:t xml:space="preserve">Shortlisting – Based on screening scores, academic consistency, and socio-economic indicators where relevant.</w:t>
      </w:r>
    </w:p>
    <w:p>
      <w:pPr>
        <w:pStyle w:val="ListParagraph"/>
        <w:numPr>
          <w:ilvl w:val="0"/>
          <w:numId w:val="5"/>
        </w:numPr>
      </w:pPr>
      <w:r>
        <w:rPr>
          <w:sz w:val="22"/>
          <w:szCs w:val="22"/>
        </w:rPr>
        <w:t xml:space="preserve">Personal Interview / Interaction – Assessment of motivation, communication, learning attitude, and fit for the programme.</w:t>
      </w:r>
    </w:p>
    <w:p>
      <w:pPr>
        <w:pStyle w:val="ListParagraph"/>
        <w:numPr>
          <w:ilvl w:val="0"/>
          <w:numId w:val="5"/>
        </w:numPr>
        <w:spacing w:after="200"/>
      </w:pPr>
      <w:r>
        <w:rPr>
          <w:sz w:val="22"/>
          <w:szCs w:val="22"/>
        </w:rPr>
        <w:t xml:space="preserve">Final Offer – Selected candidates receive formal offer letters with track allocation and programme guidelines.</w:t>
      </w:r>
    </w:p>
    <w:p>
      <w:pPr>
        <w:pStyle w:val="Heading1"/>
      </w:pPr>
      <w:r>
        <w:t xml:space="preserve">8. Benefits and Support Framework</w:t>
      </w:r>
    </w:p>
    <w:p>
      <w:pPr>
        <w:spacing w:after="120"/>
      </w:pPr>
      <w:r>
        <w:rPr>
          <w:sz w:val="22"/>
          <w:szCs w:val="22"/>
        </w:rPr>
        <w:t xml:space="preserve">Successful fellows receive a comprehensive support package designed to maximise learning and career outcomes:</w:t>
      </w:r>
    </w:p>
    <w:p>
      <w:pPr>
        <w:pStyle w:val="ListParagraph"/>
        <w:numPr>
          <w:ilvl w:val="0"/>
          <w:numId w:val="2"/>
        </w:numPr>
      </w:pPr>
      <w:r>
        <w:rPr>
          <w:sz w:val="22"/>
          <w:szCs w:val="22"/>
        </w:rPr>
        <w:t xml:space="preserve">Structured technical training by industry practitioners and experienced trainers.</w:t>
      </w:r>
    </w:p>
    <w:p>
      <w:pPr>
        <w:pStyle w:val="ListParagraph"/>
        <w:numPr>
          <w:ilvl w:val="0"/>
          <w:numId w:val="2"/>
        </w:numPr>
      </w:pPr>
      <w:r>
        <w:rPr>
          <w:sz w:val="22"/>
          <w:szCs w:val="22"/>
        </w:rPr>
        <w:t xml:space="preserve">Access to curated learning resources, labs, and development environments.</w:t>
      </w:r>
    </w:p>
    <w:p>
      <w:pPr>
        <w:pStyle w:val="ListParagraph"/>
        <w:numPr>
          <w:ilvl w:val="0"/>
          <w:numId w:val="2"/>
        </w:numPr>
      </w:pPr>
      <w:r>
        <w:rPr>
          <w:sz w:val="22"/>
          <w:szCs w:val="22"/>
        </w:rPr>
        <w:t xml:space="preserve">Dedicated mentor allocation (group + periodic one-to-one guidance).</w:t>
      </w:r>
    </w:p>
    <w:p>
      <w:pPr>
        <w:pStyle w:val="ListParagraph"/>
        <w:numPr>
          <w:ilvl w:val="0"/>
          <w:numId w:val="2"/>
        </w:numPr>
      </w:pPr>
      <w:r>
        <w:rPr>
          <w:sz w:val="22"/>
          <w:szCs w:val="22"/>
        </w:rPr>
        <w:t xml:space="preserve">Real-world capstone project experience with code reviews and feedback.</w:t>
      </w:r>
    </w:p>
    <w:p>
      <w:pPr>
        <w:pStyle w:val="ListParagraph"/>
        <w:numPr>
          <w:ilvl w:val="0"/>
          <w:numId w:val="2"/>
        </w:numPr>
      </w:pPr>
      <w:r>
        <w:rPr>
          <w:sz w:val="22"/>
          <w:szCs w:val="22"/>
        </w:rPr>
        <w:t xml:space="preserve">Soft-skills, communication, and interview preparation workshops.</w:t>
      </w:r>
    </w:p>
    <w:p>
      <w:pPr>
        <w:pStyle w:val="ListParagraph"/>
        <w:numPr>
          <w:ilvl w:val="0"/>
          <w:numId w:val="2"/>
        </w:numPr>
      </w:pPr>
      <w:r>
        <w:rPr>
          <w:sz w:val="22"/>
          <w:szCs w:val="22"/>
        </w:rPr>
        <w:t xml:space="preserve">Joint certification from Sri Vara Laxmi Sridhar Foundation and Sridhar Consultancy and IT Services.</w:t>
      </w:r>
    </w:p>
    <w:p>
      <w:pPr>
        <w:pStyle w:val="ListParagraph"/>
        <w:numPr>
          <w:ilvl w:val="0"/>
          <w:numId w:val="2"/>
        </w:numPr>
      </w:pPr>
      <w:r>
        <w:rPr>
          <w:sz w:val="22"/>
          <w:szCs w:val="22"/>
        </w:rPr>
        <w:t xml:space="preserve">Placement assistance including resume reviews, mock interviews, and facilitation of interviews with partner organisations.</w:t>
      </w:r>
    </w:p>
    <w:p>
      <w:pPr>
        <w:pStyle w:val="ListParagraph"/>
        <w:numPr>
          <w:ilvl w:val="0"/>
          <w:numId w:val="2"/>
        </w:numPr>
      </w:pPr>
      <w:r>
        <w:rPr>
          <w:sz w:val="22"/>
          <w:szCs w:val="22"/>
        </w:rPr>
        <w:t xml:space="preserve">Need-based stipend / scholarship support for selected fellows (subject to availability of funds and demonstrated need).</w:t>
      </w:r>
    </w:p>
    <w:p>
      <w:pPr>
        <w:pStyle w:val="ListParagraph"/>
        <w:numPr>
          <w:ilvl w:val="0"/>
          <w:numId w:val="2"/>
        </w:numPr>
        <w:spacing w:after="200"/>
      </w:pPr>
      <w:r>
        <w:rPr>
          <w:sz w:val="22"/>
          <w:szCs w:val="22"/>
        </w:rPr>
        <w:t xml:space="preserve">Alumni network membership and continued learning opportunities after programme completion.</w:t>
      </w:r>
    </w:p>
    <w:p>
      <w:pPr>
        <w:pStyle w:val="Heading1"/>
      </w:pPr>
      <w:r>
        <w:t xml:space="preserve">9. Implementation Plan and Timeline</w:t>
      </w:r>
    </w:p>
    <w:p>
      <w:pPr>
        <w:spacing w:after="160"/>
      </w:pPr>
      <w:r>
        <w:rPr>
          <w:sz w:val="22"/>
          <w:szCs w:val="22"/>
        </w:rPr>
        <w:t xml:space="preserve">A typical cohort cycle follows the indicative timeline below (subject to minor adjustments based on academic calendars and operational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Phase</w:t>
            </w:r>
          </w:p>
        </w:tc>
        <w:tc>
          <w:tcPr>
            <w:tcW w:type="dxa" w:w="37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Activities</w:t>
            </w:r>
          </w:p>
        </w:tc>
        <w:tc>
          <w:tcPr>
            <w:tcW w:type="dxa" w:w="37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Indicative Duration</w:t>
            </w:r>
          </w:p>
        </w:tc>
      </w:tr>
      <w:tr>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Outreach &amp; Applications</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College outreach, online applications, awareness sessions</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4–6 weeks</w:t>
            </w:r>
          </w:p>
        </w:tc>
      </w:tr>
      <w:tr>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Selection</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Screening tests, interviews, final selection &amp; onboarding</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3–4 weeks</w:t>
            </w:r>
          </w:p>
        </w:tc>
      </w:tr>
      <w:tr>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Foundation Phase</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Core programming, tools, problem-solving, orientation</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3–4 weeks</w:t>
            </w:r>
          </w:p>
        </w:tc>
      </w:tr>
      <w:tr>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Specialisation Phase</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Track-specific deep learning, labs, mini-projects</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6–8 weeks</w:t>
            </w:r>
          </w:p>
        </w:tc>
      </w:tr>
      <w:tr>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Capstone &amp; Career Prep</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Major project, reviews, soft skills, mock interviews</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 weeks</w:t>
            </w:r>
          </w:p>
        </w:tc>
      </w:tr>
      <w:tr>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Placement Support</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Interview facilitation, continuous placement assistance</w:t>
            </w:r>
          </w:p>
        </w:tc>
        <w:tc>
          <w:tcPr>
            <w:tcW w:type="dxa" w:w="37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Ongoing (up to 3–6 months post-completion)</w:t>
            </w:r>
          </w:p>
        </w:tc>
      </w:tr>
    </w:tbl>
    <w:p>
      <w:pPr>
        <w:spacing w:after="160" w:before="200"/>
      </w:pPr>
      <w:r>
        <w:rPr>
          <w:sz w:val="22"/>
          <w:szCs w:val="22"/>
        </w:rPr>
        <w:t xml:space="preserve">Detailed weekly schedules, session plans, and mentor allocation matrices are prepared for each cohort and reviewed by the joint Programme Steering Committee.</w:t>
      </w:r>
    </w:p>
    <w:p>
      <w:pPr>
        <w:pStyle w:val="Heading1"/>
      </w:pPr>
      <w:r>
        <w:t xml:space="preserve">10. Mentorship, Industry Connect and Placement Support</w:t>
      </w:r>
    </w:p>
    <w:p>
      <w:pPr>
        <w:pStyle w:val="Heading2"/>
      </w:pPr>
      <w:r>
        <w:t xml:space="preserve">10.1 Mentorship Model</w:t>
      </w:r>
    </w:p>
    <w:p>
      <w:pPr>
        <w:spacing w:after="160"/>
      </w:pPr>
      <w:r>
        <w:rPr>
          <w:sz w:val="22"/>
          <w:szCs w:val="22"/>
        </w:rPr>
        <w:t xml:space="preserve">Each fellow is assigned to a mentor group led by an industry professional or senior technologist associated with Sridhar Consultancy and IT Services or its partner network. Mentors provide technical guidance, career advice, code review feedback, and professional role-modelling. Periodic mentor–fellow interaction sessions and project checkpoints form the backbone of continuous support.</w:t>
      </w:r>
    </w:p>
    <w:p>
      <w:pPr>
        <w:pStyle w:val="Heading2"/>
      </w:pPr>
      <w:r>
        <w:t xml:space="preserve">10.2 Industry Connect</w:t>
      </w:r>
    </w:p>
    <w:p>
      <w:pPr>
        <w:spacing w:after="160"/>
      </w:pPr>
      <w:r>
        <w:rPr>
          <w:sz w:val="22"/>
          <w:szCs w:val="22"/>
        </w:rPr>
        <w:t xml:space="preserve">Guest lectures, technology deep-dive sessions, and exposure to real project case studies are organised throughout the programme. Fellows also gain insight into workplace culture, expectations of entry-level roles, and pathways for continuous learning.</w:t>
      </w:r>
    </w:p>
    <w:p>
      <w:pPr>
        <w:pStyle w:val="Heading2"/>
      </w:pPr>
      <w:r>
        <w:t xml:space="preserve">10.3 Placement Facilitation</w:t>
      </w:r>
    </w:p>
    <w:p>
      <w:pPr>
        <w:spacing w:after="160"/>
      </w:pPr>
      <w:r>
        <w:rPr>
          <w:sz w:val="22"/>
          <w:szCs w:val="22"/>
        </w:rPr>
        <w:t xml:space="preserve">While employment cannot be guaranteed, the programme provides structured placement support including curated job opportunities through the partner network, interview preparation, and feedback loops. Performance in the fellowship (technical assessments, project quality, and professional behaviour) is a key input into placement recommendations.</w:t>
      </w:r>
    </w:p>
    <w:p>
      <w:pPr>
        <w:pStyle w:val="Heading1"/>
      </w:pPr>
      <w:r>
        <w:t xml:space="preserve">11. Monitoring, Evaluation and Quality Assurance</w:t>
      </w:r>
    </w:p>
    <w:p>
      <w:pPr>
        <w:spacing w:after="160"/>
      </w:pPr>
      <w:r>
        <w:rPr>
          <w:sz w:val="22"/>
          <w:szCs w:val="22"/>
        </w:rPr>
        <w:t xml:space="preserve">A robust monitoring and evaluation (M&amp;E) framework ensures accountability and continuous improvement:</w:t>
      </w:r>
    </w:p>
    <w:p>
      <w:pPr>
        <w:pStyle w:val="ListParagraph"/>
        <w:numPr>
          <w:ilvl w:val="0"/>
          <w:numId w:val="2"/>
        </w:numPr>
      </w:pPr>
      <w:r>
        <w:rPr>
          <w:sz w:val="22"/>
          <w:szCs w:val="22"/>
        </w:rPr>
        <w:t xml:space="preserve">Weekly progress dashboards tracking attendance, assignment completion, and assessment scores.</w:t>
      </w:r>
    </w:p>
    <w:p>
      <w:pPr>
        <w:pStyle w:val="ListParagraph"/>
        <w:numPr>
          <w:ilvl w:val="0"/>
          <w:numId w:val="2"/>
        </w:numPr>
      </w:pPr>
      <w:r>
        <w:rPr>
          <w:sz w:val="22"/>
          <w:szCs w:val="22"/>
        </w:rPr>
        <w:t xml:space="preserve">Mid-term and end-term reviews by the Programme Steering Committee.</w:t>
      </w:r>
    </w:p>
    <w:p>
      <w:pPr>
        <w:pStyle w:val="ListParagraph"/>
        <w:numPr>
          <w:ilvl w:val="0"/>
          <w:numId w:val="2"/>
        </w:numPr>
      </w:pPr>
      <w:r>
        <w:rPr>
          <w:sz w:val="22"/>
          <w:szCs w:val="22"/>
        </w:rPr>
        <w:t xml:space="preserve">Fellow feedback surveys at multiple points in the journey.</w:t>
      </w:r>
    </w:p>
    <w:p>
      <w:pPr>
        <w:pStyle w:val="ListParagraph"/>
        <w:numPr>
          <w:ilvl w:val="0"/>
          <w:numId w:val="2"/>
        </w:numPr>
      </w:pPr>
      <w:r>
        <w:rPr>
          <w:sz w:val="22"/>
          <w:szCs w:val="22"/>
        </w:rPr>
        <w:t xml:space="preserve">Mentor feedback on individual progress and project quality.</w:t>
      </w:r>
    </w:p>
    <w:p>
      <w:pPr>
        <w:pStyle w:val="ListParagraph"/>
        <w:numPr>
          <w:ilvl w:val="0"/>
          <w:numId w:val="2"/>
        </w:numPr>
      </w:pPr>
      <w:r>
        <w:rPr>
          <w:sz w:val="22"/>
          <w:szCs w:val="22"/>
        </w:rPr>
        <w:t xml:space="preserve">Post-programme outcome tracking (placement status, role quality, and retention where feasible).</w:t>
      </w:r>
    </w:p>
    <w:p>
      <w:pPr>
        <w:pStyle w:val="ListParagraph"/>
        <w:numPr>
          <w:ilvl w:val="0"/>
          <w:numId w:val="2"/>
        </w:numPr>
        <w:spacing w:after="200"/>
      </w:pPr>
      <w:r>
        <w:rPr>
          <w:sz w:val="22"/>
          <w:szCs w:val="22"/>
        </w:rPr>
        <w:t xml:space="preserve">Annual curriculum and process review incorporating industry trends and stakeholder inputs.</w:t>
      </w:r>
    </w:p>
    <w:p>
      <w:pPr>
        <w:pStyle w:val="Heading1"/>
      </w:pPr>
      <w:r>
        <w:t xml:space="preserve">12. Expected Outcomes and Impact</w:t>
      </w:r>
    </w:p>
    <w:p>
      <w:pPr>
        <w:spacing w:after="120"/>
      </w:pPr>
      <w:r>
        <w:rPr>
          <w:sz w:val="22"/>
          <w:szCs w:val="22"/>
        </w:rPr>
        <w:t xml:space="preserve">Upon successful implementation, the SoftTech Fellowship is expected to deliver the following outcomes:</w:t>
      </w:r>
    </w:p>
    <w:p>
      <w:pPr>
        <w:pStyle w:val="ListParagraph"/>
        <w:numPr>
          <w:ilvl w:val="0"/>
          <w:numId w:val="6"/>
        </w:numPr>
      </w:pPr>
      <w:r>
        <w:rPr>
          <w:sz w:val="22"/>
          <w:szCs w:val="22"/>
        </w:rPr>
        <w:t xml:space="preserve">A cohort of technically competent and professionally ready technology graduates each cycle.</w:t>
      </w:r>
    </w:p>
    <w:p>
      <w:pPr>
        <w:pStyle w:val="ListParagraph"/>
        <w:numPr>
          <w:ilvl w:val="0"/>
          <w:numId w:val="6"/>
        </w:numPr>
      </w:pPr>
      <w:r>
        <w:rPr>
          <w:sz w:val="22"/>
          <w:szCs w:val="22"/>
        </w:rPr>
        <w:t xml:space="preserve">Improved placement rates and quality of first jobs for participating fellows relative to comparable peer groups.</w:t>
      </w:r>
    </w:p>
    <w:p>
      <w:pPr>
        <w:pStyle w:val="ListParagraph"/>
        <w:numPr>
          <w:ilvl w:val="0"/>
          <w:numId w:val="6"/>
        </w:numPr>
      </w:pPr>
      <w:r>
        <w:rPr>
          <w:sz w:val="22"/>
          <w:szCs w:val="22"/>
        </w:rPr>
        <w:t xml:space="preserve">Strengthened portfolios and confidence among participants, enabling better long-term career trajectories.</w:t>
      </w:r>
    </w:p>
    <w:p>
      <w:pPr>
        <w:pStyle w:val="ListParagraph"/>
        <w:numPr>
          <w:ilvl w:val="0"/>
          <w:numId w:val="6"/>
        </w:numPr>
      </w:pPr>
      <w:r>
        <w:rPr>
          <w:sz w:val="22"/>
          <w:szCs w:val="22"/>
        </w:rPr>
        <w:t xml:space="preserve">Enhanced inclusivity by enabling talented students from disadvantaged backgrounds to access high-quality technical training and networks.</w:t>
      </w:r>
    </w:p>
    <w:p>
      <w:pPr>
        <w:pStyle w:val="ListParagraph"/>
        <w:numPr>
          <w:ilvl w:val="0"/>
          <w:numId w:val="6"/>
        </w:numPr>
      </w:pPr>
      <w:r>
        <w:rPr>
          <w:sz w:val="22"/>
          <w:szCs w:val="22"/>
        </w:rPr>
        <w:t xml:space="preserve">A growing alumni community that can mentor future cohorts and contribute to the Foundation’s broader mission.</w:t>
      </w:r>
    </w:p>
    <w:p>
      <w:pPr>
        <w:pStyle w:val="ListParagraph"/>
        <w:numPr>
          <w:ilvl w:val="0"/>
          <w:numId w:val="6"/>
        </w:numPr>
        <w:spacing w:after="200"/>
      </w:pPr>
      <w:r>
        <w:rPr>
          <w:sz w:val="22"/>
          <w:szCs w:val="22"/>
        </w:rPr>
        <w:t xml:space="preserve">Contribution to the larger goal of building India’s skilled digital workforce in alignment with national skill development priorities.</w:t>
      </w:r>
    </w:p>
    <w:p>
      <w:pPr>
        <w:pStyle w:val="Heading1"/>
      </w:pPr>
      <w:r>
        <w:t xml:space="preserve">13. Risk Management and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Potential Risk</w:t>
            </w:r>
          </w:p>
        </w:tc>
        <w:tc>
          <w:tcPr>
            <w:tcW w:type="dxa" w:w="336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c>
          <w:tcPr>
            <w:tcW w:type="dxa" w:w="336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Mitigation Strategy</w:t>
            </w:r>
          </w:p>
        </w:tc>
      </w:tr>
      <w:tr>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Low application quality / volume</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Sub-optimal cohort composition</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Early outreach, targeted college partnerships, clear value proposition</w:t>
            </w:r>
          </w:p>
        </w:tc>
      </w:tr>
      <w:tr>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Fellow attrition mid-programme</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Wasted resources &amp; lower outcomes</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Strong onboarding, continuous engagement, early warning indicators, counselling support</w:t>
            </w:r>
          </w:p>
        </w:tc>
      </w:tr>
      <w:tr>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Mentor availability constraints</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Reduced guidance quality</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Mentor pool expansion, structured group mentoring, recorded sessions</w:t>
            </w:r>
          </w:p>
        </w:tc>
      </w:tr>
      <w:tr>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Placement market fluctuations</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Lower placement conversion</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Diversified partner network, continuous skill updating, extended support window</w:t>
            </w:r>
          </w:p>
        </w:tc>
      </w:tr>
      <w:tr>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Technology / curriculum obsolescence</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Reduced relevance of skills</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Annual curriculum review with industry inputs, modular design for rapid updates</w:t>
            </w:r>
          </w:p>
        </w:tc>
      </w:tr>
    </w:tbl>
    <w:p>
      <w:pPr>
        <w:pStyle w:val="Heading1"/>
      </w:pPr>
      <w:r>
        <w:t xml:space="preserve">14. Budget Overview (Indicative)</w:t>
      </w:r>
    </w:p>
    <w:p>
      <w:pPr>
        <w:spacing w:after="160"/>
      </w:pPr>
      <w:r>
        <w:rPr>
          <w:sz w:val="22"/>
          <w:szCs w:val="22"/>
        </w:rPr>
        <w:t xml:space="preserve">The programme budget is structured to cover training delivery, mentorship coordination, learning infrastructure, assessments, certification, stipend support (need-based), outreach, and administrative overheads. Exact figures are finalised annually by the Foundation’s finance committee in consultation with the delivery partner. Major cost heads typically include:</w:t>
      </w:r>
    </w:p>
    <w:p>
      <w:pPr>
        <w:pStyle w:val="ListParagraph"/>
        <w:numPr>
          <w:ilvl w:val="0"/>
          <w:numId w:val="2"/>
        </w:numPr>
      </w:pPr>
      <w:r>
        <w:rPr>
          <w:sz w:val="22"/>
          <w:szCs w:val="22"/>
        </w:rPr>
        <w:t xml:space="preserve">Faculty / trainer honoraria and content development</w:t>
      </w:r>
    </w:p>
    <w:p>
      <w:pPr>
        <w:pStyle w:val="ListParagraph"/>
        <w:numPr>
          <w:ilvl w:val="0"/>
          <w:numId w:val="2"/>
        </w:numPr>
      </w:pPr>
      <w:r>
        <w:rPr>
          <w:sz w:val="22"/>
          <w:szCs w:val="22"/>
        </w:rPr>
        <w:t xml:space="preserve">Mentor engagement and coordination costs</w:t>
      </w:r>
    </w:p>
    <w:p>
      <w:pPr>
        <w:pStyle w:val="ListParagraph"/>
        <w:numPr>
          <w:ilvl w:val="0"/>
          <w:numId w:val="2"/>
        </w:numPr>
      </w:pPr>
      <w:r>
        <w:rPr>
          <w:sz w:val="22"/>
          <w:szCs w:val="22"/>
        </w:rPr>
        <w:t xml:space="preserve">Learning platform, tools, and lab infrastructure (cloud credits, software licenses where required)</w:t>
      </w:r>
    </w:p>
    <w:p>
      <w:pPr>
        <w:pStyle w:val="ListParagraph"/>
        <w:numPr>
          <w:ilvl w:val="0"/>
          <w:numId w:val="2"/>
        </w:numPr>
      </w:pPr>
      <w:r>
        <w:rPr>
          <w:sz w:val="22"/>
          <w:szCs w:val="22"/>
        </w:rPr>
        <w:t xml:space="preserve">Assessments, certification, and quality assurance</w:t>
      </w:r>
    </w:p>
    <w:p>
      <w:pPr>
        <w:pStyle w:val="ListParagraph"/>
        <w:numPr>
          <w:ilvl w:val="0"/>
          <w:numId w:val="2"/>
        </w:numPr>
      </w:pPr>
      <w:r>
        <w:rPr>
          <w:sz w:val="22"/>
          <w:szCs w:val="22"/>
        </w:rPr>
        <w:t xml:space="preserve">Need-based stipends / scholarships</w:t>
      </w:r>
    </w:p>
    <w:p>
      <w:pPr>
        <w:pStyle w:val="ListParagraph"/>
        <w:numPr>
          <w:ilvl w:val="0"/>
          <w:numId w:val="2"/>
        </w:numPr>
      </w:pPr>
      <w:r>
        <w:rPr>
          <w:sz w:val="22"/>
          <w:szCs w:val="22"/>
        </w:rPr>
        <w:t xml:space="preserve">Outreach, selection process, and communication</w:t>
      </w:r>
    </w:p>
    <w:p>
      <w:pPr>
        <w:pStyle w:val="ListParagraph"/>
        <w:numPr>
          <w:ilvl w:val="0"/>
          <w:numId w:val="2"/>
        </w:numPr>
        <w:spacing w:after="200"/>
      </w:pPr>
      <w:r>
        <w:rPr>
          <w:sz w:val="22"/>
          <w:szCs w:val="22"/>
        </w:rPr>
        <w:t xml:space="preserve">Programme management and monitoring &amp; evaluation</w:t>
      </w:r>
    </w:p>
    <w:p>
      <w:pPr>
        <w:spacing w:after="160"/>
      </w:pPr>
      <w:r>
        <w:rPr>
          <w:sz w:val="22"/>
          <w:szCs w:val="22"/>
        </w:rPr>
        <w:t xml:space="preserve">The Foundation actively seeks CSR partnerships, philanthropic contributions, and institutional collaborations to expand the number of fully supported seats and enhance programme quality over successive cohorts.</w:t>
      </w:r>
    </w:p>
    <w:p>
      <w:pPr>
        <w:pStyle w:val="Heading1"/>
      </w:pPr>
      <w:r>
        <w:t xml:space="preserve">15. Conclusion and Way Forward</w:t>
      </w:r>
    </w:p>
    <w:p>
      <w:pPr>
        <w:spacing w:after="160"/>
      </w:pPr>
      <w:r>
        <w:rPr>
          <w:sz w:val="22"/>
          <w:szCs w:val="22"/>
        </w:rPr>
        <w:t xml:space="preserve">The SoftTech Fellowship represents a purposeful response to the dual challenge of skill gaps in the technology workforce and limited access to high-quality, industry-connected training for many meritorious students. By combining the developmental mission of the Sri Vara Laxmi Sridhar Foundation with the technical depth and industry linkages of Sridhar Consultancy and IT Services, the programme creates a powerful platform for transforming potential into professional readiness.</w:t>
      </w:r>
    </w:p>
    <w:p>
      <w:pPr>
        <w:spacing w:after="160"/>
      </w:pPr>
      <w:r>
        <w:rPr>
          <w:sz w:val="22"/>
          <w:szCs w:val="22"/>
        </w:rPr>
        <w:t xml:space="preserve">Looking ahead, the partners intend to refine the model based on outcomes data, expand intake capacity, deepen employer partnerships, explore additional specialised tracks aligned with emerging technology demand, and progressively increase the proportion of fully supported seats for economically disadvantaged learners. Continuous feedback from fellows, mentors, and hiring organisations will remain central to programme evolution.</w:t>
      </w:r>
    </w:p>
    <w:p>
      <w:pPr>
        <w:spacing w:after="160"/>
      </w:pPr>
      <w:r>
        <w:rPr>
          <w:sz w:val="22"/>
          <w:szCs w:val="22"/>
        </w:rPr>
        <w:t xml:space="preserve">Through sustained commitment, rigorous execution, and a learner-centric philosophy, the SoftTech Fellowship aspires to become a recognised pathway for tech students seeking not only employment, but meaningful and sustained careers in technology.</w:t>
      </w:r>
    </w:p>
    <w:p>
      <w:pPr>
        <w:pStyle w:val="Heading1"/>
      </w:pPr>
      <w:r>
        <w:t xml:space="preserve">16. Annexures</w:t>
      </w:r>
    </w:p>
    <w:p>
      <w:pPr>
        <w:spacing w:after="80"/>
      </w:pPr>
      <w:r>
        <w:rPr>
          <w:sz w:val="22"/>
          <w:szCs w:val="22"/>
        </w:rPr>
        <w:t xml:space="preserve">The following supporting documents form part of the complete project dossier (available separately or upon request):</w:t>
      </w:r>
    </w:p>
    <w:p>
      <w:pPr>
        <w:pStyle w:val="ListParagraph"/>
        <w:numPr>
          <w:ilvl w:val="0"/>
          <w:numId w:val="2"/>
        </w:numPr>
      </w:pPr>
      <w:r>
        <w:rPr>
          <w:sz w:val="22"/>
          <w:szCs w:val="22"/>
        </w:rPr>
        <w:t xml:space="preserve">Annexure A – Detailed Curriculum Outline by Track</w:t>
      </w:r>
    </w:p>
    <w:p>
      <w:pPr>
        <w:pStyle w:val="ListParagraph"/>
        <w:numPr>
          <w:ilvl w:val="0"/>
          <w:numId w:val="2"/>
        </w:numPr>
      </w:pPr>
      <w:r>
        <w:rPr>
          <w:sz w:val="22"/>
          <w:szCs w:val="22"/>
        </w:rPr>
        <w:t xml:space="preserve">Annexure B – Sample Weekly Schedule (Standard Track)</w:t>
      </w:r>
    </w:p>
    <w:p>
      <w:pPr>
        <w:pStyle w:val="ListParagraph"/>
        <w:numPr>
          <w:ilvl w:val="0"/>
          <w:numId w:val="2"/>
        </w:numPr>
      </w:pPr>
      <w:r>
        <w:rPr>
          <w:sz w:val="22"/>
          <w:szCs w:val="22"/>
        </w:rPr>
        <w:t xml:space="preserve">Annexure C – Application Form Template and Selection Rubric</w:t>
      </w:r>
    </w:p>
    <w:p>
      <w:pPr>
        <w:pStyle w:val="ListParagraph"/>
        <w:numPr>
          <w:ilvl w:val="0"/>
          <w:numId w:val="2"/>
        </w:numPr>
      </w:pPr>
      <w:r>
        <w:rPr>
          <w:sz w:val="22"/>
          <w:szCs w:val="22"/>
        </w:rPr>
        <w:t xml:space="preserve">Annexure D – Mentor Engagement Guidelines</w:t>
      </w:r>
    </w:p>
    <w:p>
      <w:pPr>
        <w:pStyle w:val="ListParagraph"/>
        <w:numPr>
          <w:ilvl w:val="0"/>
          <w:numId w:val="2"/>
        </w:numPr>
      </w:pPr>
      <w:r>
        <w:rPr>
          <w:sz w:val="22"/>
          <w:szCs w:val="22"/>
        </w:rPr>
        <w:t xml:space="preserve">Annexure E – Assessment Framework and Grading Policy</w:t>
      </w:r>
    </w:p>
    <w:p>
      <w:pPr>
        <w:pStyle w:val="ListParagraph"/>
        <w:numPr>
          <w:ilvl w:val="0"/>
          <w:numId w:val="2"/>
        </w:numPr>
      </w:pPr>
      <w:r>
        <w:rPr>
          <w:sz w:val="22"/>
          <w:szCs w:val="22"/>
        </w:rPr>
        <w:t xml:space="preserve">Annexure F – Indicative Partner / Employer Engagement Framework</w:t>
      </w:r>
    </w:p>
    <w:p>
      <w:pPr>
        <w:pStyle w:val="ListParagraph"/>
        <w:numPr>
          <w:ilvl w:val="0"/>
          <w:numId w:val="2"/>
        </w:numPr>
        <w:spacing w:after="300"/>
      </w:pPr>
      <w:r>
        <w:rPr>
          <w:sz w:val="22"/>
          <w:szCs w:val="22"/>
        </w:rPr>
        <w:t xml:space="preserve">Annexure G – Sample Certificate Design and Programme Code of Conduct</w:t>
      </w:r>
    </w:p>
    <w:p>
      <w:pPr>
        <w:pBdr>
          <w:top w:val="single" w:color="1F4E79" w:sz="12" w:space="12"/>
        </w:pBdr>
        <w:spacing w:before="400"/>
        <w:jc w:val="center"/>
      </w:pPr>
      <w:r>
        <w:rPr>
          <w:rFonts w:ascii="Arial" w:cs="Arial" w:eastAsia="Arial" w:hAnsi="Arial"/>
          <w:b/>
          <w:bCs/>
          <w:color w:val="1F4E79"/>
          <w:sz w:val="22"/>
          <w:szCs w:val="22"/>
        </w:rPr>
        <w:t xml:space="preserve">— End of Project Report —</w:t>
      </w:r>
    </w:p>
    <w:p>
      <w:pPr>
        <w:spacing w:before="200"/>
        <w:jc w:val="center"/>
      </w:pPr>
      <w:r>
        <w:rPr>
          <w:rFonts w:ascii="Arial" w:cs="Arial" w:eastAsia="Arial" w:hAnsi="Arial"/>
          <w:b/>
          <w:bCs/>
          <w:color w:val="1F4E79"/>
          <w:sz w:val="20"/>
          <w:szCs w:val="20"/>
        </w:rPr>
        <w:t xml:space="preserve">Sri Vara Laxmi Sridhar Foundation</w:t>
      </w:r>
    </w:p>
    <w:p>
      <w:pPr>
        <w:spacing w:before="40"/>
        <w:jc w:val="center"/>
      </w:pPr>
      <w:r>
        <w:rPr>
          <w:rFonts w:ascii="Arial" w:cs="Arial" w:eastAsia="Arial" w:hAnsi="Arial"/>
          <w:i/>
          <w:iCs/>
          <w:color w:val="666666"/>
          <w:sz w:val="18"/>
          <w:szCs w:val="18"/>
        </w:rPr>
        <w:t xml:space="preserve">In partnership with Sridhar Consultancy and IT Services</w:t>
      </w:r>
    </w:p>
    <w:p>
      <w:pPr>
        <w:spacing w:before="120"/>
        <w:jc w:val="center"/>
      </w:pPr>
      <w:r>
        <w:rPr>
          <w:rFonts w:ascii="Arial" w:cs="Arial" w:eastAsia="Arial" w:hAnsi="Arial"/>
          <w:color w:val="666666"/>
          <w:sz w:val="18"/>
          <w:szCs w:val="18"/>
        </w:rPr>
        <w:t xml:space="preserve">For enquiries regarding the SoftTech Fellowship, please contact the Programme Office of the Foundation.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6"/>
      </w:pBdr>
      <w:spacing w:before="80"/>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 Sri Vara Laxmi Sridhar Foundation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8"/>
      </w:pBdr>
      <w:spacing w:after="120"/>
    </w:pPr>
    <w:r>
      <w:rPr>
        <w:rFonts w:ascii="Arial" w:cs="Arial" w:eastAsia="Arial" w:hAnsi="Arial"/>
        <w:b/>
        <w:bCs/>
        <w:color w:val="1F4E79"/>
        <w:sz w:val="18"/>
        <w:szCs w:val="18"/>
      </w:rPr>
      <w:t xml:space="preserve">Sri Vara Laxmi Sridhar Foundation</w:t>
    </w:r>
    <w:r>
      <w:rPr>
        <w:rFonts w:ascii="Arial" w:cs="Arial" w:eastAsia="Arial" w:hAnsi="Arial"/>
        <w:color w:val="666666"/>
        <w:sz w:val="18"/>
        <w:szCs w:val="18"/>
      </w:rPr>
      <w:t xml:space="preserve">  |  SoftTech Fellowship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2026-09-19T09:12:34.276Z</dcterms:created>
  <dcterms:modified xsi:type="dcterms:W3CDTF">2026-09-19T09:12:34.276Z</dcterms:modified>
</cp:coreProperties>
</file>

<file path=docProps/custom.xml><?xml version="1.0" encoding="utf-8"?>
<Properties xmlns="http://schemas.openxmlformats.org/officeDocument/2006/custom-properties" xmlns:vt="http://schemas.openxmlformats.org/officeDocument/2006/docPropsVTypes"/>
</file>