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ind w:left="0"/>
        <w:jc w:val="center"/>
      </w:pPr>
      <w:r>
        <w:rPr>
          <w:b/>
          <w:sz w:val="34"/>
          <w:szCs w:val="34"/>
          <w:color w:val="1F5E35"/>
        </w:rPr>
        <w:t xml:space="preserve">TN HUB</w:t>
      </w:r>
    </w:p>
    <w:p>
      <w:pPr>
        <w:spacing w:before="0" w:after="120"/>
        <w:ind w:left="0"/>
        <w:jc w:val="center"/>
      </w:pPr>
      <w:r>
        <w:rPr>
          <w:i/>
          <w:sz w:val="22"/>
          <w:szCs w:val="22"/>
          <w:color w:val="5A5A5A"/>
        </w:rPr>
        <w:t xml:space="preserve">One-Page Project Summary</w:t>
      </w:r>
    </w:p>
    <w:p>
      <w:pPr>
        <w:spacing w:before="60" w:after="30"/>
        <w:ind w:left="0"/>
        <w:jc w:val="left"/>
      </w:pPr>
      <w:r>
        <w:rPr>
          <w:b/>
          <w:sz w:val="24"/>
          <w:szCs w:val="24"/>
          <w:color w:val="1F5E35"/>
        </w:rPr>
        <w:t xml:space="preserve">What it is</w:t>
      </w:r>
    </w:p>
    <w:p>
      <w:pPr>
        <w:spacing w:before="0" w:after="60"/>
        <w:ind w:left="0"/>
        <w:jc w:val="left"/>
      </w:pPr>
      <w:r>
        <w:rPr>
          <w:sz w:val="18"/>
          <w:szCs w:val="18"/>
          <w:color w:val="222222"/>
        </w:rPr>
        <w:t xml:space="preserve">TN HUB is a multi-role digital public service platform for citizens, operators, officers, and admins. It supports service applications, document handling, workflow tracking, approvals, and help-desk support in a SvelteKit + Firebase stack.</w:t>
      </w:r>
    </w:p>
    <w:p>
      <w:pPr>
        <w:spacing w:before="40" w:after="30"/>
        <w:ind w:left="0"/>
        <w:jc w:val="left"/>
      </w:pPr>
      <w:r>
        <w:rPr>
          <w:b/>
          <w:sz w:val="24"/>
          <w:szCs w:val="24"/>
          <w:color w:val="1F5E35"/>
        </w:rPr>
        <w:t xml:space="preserve">What works well</w:t>
      </w:r>
    </w:p>
    <w:p>
      <w:pPr>
        <w:spacing w:before="0" w:after="40"/>
        <w:ind w:left="260"/>
        <w:jc w:val="left"/>
      </w:pPr>
      <w:r>
        <w:rPr>
          <w:sz w:val="18"/>
          <w:szCs w:val="18"/>
          <w:color w:val="222222"/>
        </w:rPr>
        <w:t xml:space="preserve">- Real Firebase authentication and server-side session handling are in place.</w:t>
      </w:r>
    </w:p>
    <w:p>
      <w:pPr>
        <w:spacing w:before="0" w:after="40"/>
        <w:ind w:left="260"/>
        <w:jc w:val="left"/>
      </w:pPr>
      <w:r>
        <w:rPr>
          <w:sz w:val="18"/>
          <w:szCs w:val="18"/>
          <w:color w:val="222222"/>
        </w:rPr>
        <w:t xml:space="preserve">- Role-based portals separate citizen, operator, officer, and admin workflows.</w:t>
      </w:r>
    </w:p>
    <w:p>
      <w:pPr>
        <w:spacing w:before="0" w:after="40"/>
        <w:ind w:left="260"/>
        <w:jc w:val="left"/>
      </w:pPr>
      <w:r>
        <w:rPr>
          <w:sz w:val="18"/>
          <w:szCs w:val="18"/>
          <w:color w:val="222222"/>
        </w:rPr>
        <w:t xml:space="preserve">- Firestore and Storage are used for application, document, and workflow data.</w:t>
      </w:r>
    </w:p>
    <w:p>
      <w:pPr>
        <w:spacing w:before="0" w:after="40"/>
        <w:ind w:left="260"/>
        <w:jc w:val="left"/>
      </w:pPr>
      <w:r>
        <w:rPr>
          <w:sz w:val="18"/>
          <w:szCs w:val="18"/>
          <w:color w:val="222222"/>
        </w:rPr>
        <w:t xml:space="preserve">- Admin approval email flow is real when SMTP configuration is present.</w:t>
      </w:r>
    </w:p>
    <w:p>
      <w:pPr>
        <w:spacing w:before="40" w:after="30"/>
        <w:ind w:left="0"/>
        <w:jc w:val="left"/>
      </w:pPr>
      <w:r>
        <w:rPr>
          <w:b/>
          <w:sz w:val="24"/>
          <w:szCs w:val="24"/>
          <w:color w:val="1F5E35"/>
        </w:rPr>
        <w:t xml:space="preserve">Current gaps</w:t>
      </w:r>
    </w:p>
    <w:p>
      <w:pPr>
        <w:spacing w:before="0" w:after="40"/>
        <w:ind w:left="260"/>
        <w:jc w:val="left"/>
      </w:pPr>
      <w:r>
        <w:rPr>
          <w:sz w:val="18"/>
          <w:szCs w:val="18"/>
          <w:color w:val="222222"/>
        </w:rPr>
        <w:t xml:space="preserve">- Dummy OTP and mock DigiLocker flows still exist in key journeys.</w:t>
      </w:r>
    </w:p>
    <w:p>
      <w:pPr>
        <w:spacing w:before="0" w:after="40"/>
        <w:ind w:left="260"/>
        <w:jc w:val="left"/>
      </w:pPr>
      <w:r>
        <w:rPr>
          <w:sz w:val="18"/>
          <w:szCs w:val="18"/>
          <w:color w:val="222222"/>
        </w:rPr>
        <w:t xml:space="preserve">- Notification requests are duplicated in shared layout/header logic.</w:t>
      </w:r>
    </w:p>
    <w:p>
      <w:pPr>
        <w:spacing w:before="0" w:after="40"/>
        <w:ind w:left="260"/>
        <w:jc w:val="left"/>
      </w:pPr>
      <w:r>
        <w:rPr>
          <w:sz w:val="18"/>
          <w:szCs w:val="18"/>
          <w:color w:val="222222"/>
        </w:rPr>
        <w:t xml:space="preserve">- Rejected applications and corrected submissions need better status syncing.</w:t>
      </w:r>
    </w:p>
    <w:p>
      <w:pPr>
        <w:spacing w:before="0" w:after="40"/>
        <w:ind w:left="260"/>
        <w:jc w:val="left"/>
      </w:pPr>
      <w:r>
        <w:rPr>
          <w:sz w:val="18"/>
          <w:szCs w:val="18"/>
          <w:color w:val="222222"/>
        </w:rPr>
        <w:t xml:space="preserve">- Officer actions should require document viewing before approve/reject.</w:t>
      </w:r>
    </w:p>
    <w:p>
      <w:pPr>
        <w:spacing w:before="40" w:after="30"/>
        <w:ind w:left="0"/>
        <w:jc w:val="left"/>
      </w:pPr>
      <w:r>
        <w:rPr>
          <w:b/>
          <w:sz w:val="24"/>
          <w:szCs w:val="24"/>
          <w:color w:val="1F5E35"/>
        </w:rPr>
        <w:t xml:space="preserve">Priority next steps</w:t>
      </w:r>
    </w:p>
    <w:p>
      <w:pPr>
        <w:spacing w:before="0" w:after="40"/>
        <w:ind w:left="260"/>
        <w:jc w:val="left"/>
      </w:pPr>
      <w:r>
        <w:rPr>
          <w:sz w:val="18"/>
          <w:szCs w:val="18"/>
          <w:color w:val="222222"/>
        </w:rPr>
        <w:t xml:space="preserve">- Fix the workflow state model so timeline, status, and backend truth always match.</w:t>
      </w:r>
    </w:p>
    <w:p>
      <w:pPr>
        <w:spacing w:before="0" w:after="40"/>
        <w:ind w:left="260"/>
        <w:jc w:val="left"/>
      </w:pPr>
      <w:r>
        <w:rPr>
          <w:sz w:val="18"/>
          <w:szCs w:val="18"/>
          <w:color w:val="222222"/>
        </w:rPr>
        <w:t xml:space="preserve">- Replace mock features with real integrations or clearly disable them.</w:t>
      </w:r>
    </w:p>
    <w:p>
      <w:pPr>
        <w:spacing w:before="0" w:after="40"/>
        <w:ind w:left="260"/>
        <w:jc w:val="left"/>
      </w:pPr>
      <w:r>
        <w:rPr>
          <w:sz w:val="18"/>
          <w:szCs w:val="18"/>
          <w:color w:val="222222"/>
        </w:rPr>
        <w:t xml:space="preserve">- Remove duplicate notification fetching and tighten public endpoint validation.</w:t>
      </w:r>
    </w:p>
    <w:p>
      <w:pPr>
        <w:spacing w:before="40" w:after="30"/>
        <w:ind w:left="0"/>
        <w:jc w:val="left"/>
      </w:pPr>
      <w:r>
        <w:rPr>
          <w:b/>
          <w:sz w:val="24"/>
          <w:szCs w:val="24"/>
          <w:color w:val="1F5E35"/>
        </w:rPr>
        <w:t xml:space="preserve">Technology stack</w:t>
      </w:r>
    </w:p>
    <w:p>
      <w:pPr>
        <w:spacing w:before="0" w:after="40"/>
        <w:ind w:left="0"/>
        <w:jc w:val="left"/>
      </w:pPr>
      <w:r>
        <w:rPr>
          <w:sz w:val="18"/>
          <w:szCs w:val="18"/>
          <w:color w:val="222222"/>
        </w:rPr>
        <w:t xml:space="preserve">SvelteKit, Firebase Auth, Firestore, Firebase Storage, server hooks, role-based layouts, and SMTP email delivery.</w:t>
      </w:r>
    </w:p>
    <w:p>
      <w:pPr>
        <w:spacing w:before="30" w:after="20"/>
        <w:ind w:left="0"/>
        <w:jc w:val="left"/>
      </w:pPr>
      <w:r>
        <w:rPr>
          <w:b/>
          <w:sz w:val="24"/>
          <w:szCs w:val="24"/>
          <w:color w:val="1F5E35"/>
        </w:rPr>
        <w:t xml:space="preserve">Bottom line</w:t>
      </w:r>
    </w:p>
    <w:p>
      <w:pPr>
        <w:spacing w:before="0" w:after="40"/>
        <w:ind w:left="0"/>
        <w:jc w:val="left"/>
      </w:pPr>
      <w:r>
        <w:rPr>
          <w:sz w:val="18"/>
          <w:szCs w:val="18"/>
          <w:color w:val="222222"/>
        </w:rPr>
        <w:t xml:space="preserve">TN HUB already has a strong real backend foundation. The next step is to remove mock behavior, align workflow state with the database, and polish the admin and officer experience so the product feels consistent and trustworthy.</w:t>
      </w:r>
    </w:p>
    <w:sectPr>
      <w:pgSz w:w="12240" w:h="15840"/>
      <w:pgMar w:top="720" w:right="720" w:bottom="720" w:left="720" w:header="360" w:footer="360" w:gutter="0"/>
      <w:cols w:space="360"/>
      <w:docGrid w:linePitch="360"/>
    </w:sectPr>
  </w:body>
</w:document>
</file>