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Data Flow Diagram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2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Data Flow Diagram</w:t>
      </w:r>
    </w:p>
    <w:p>
      <w:pPr>
        <w:keepNext w:val="0"/>
        <w:jc w:val="both"/>
      </w:pPr>
      <w:r>
        <w:rPr>
          <w:i w:val="0"/>
        </w:rPr>
        <w:t>The Data Flow Diagram (DFD) below shows how data moves through EduGenie - between external entities, processes and data stores.</w:t>
      </w:r>
    </w:p>
    <w:p>
      <w:pPr>
        <w:keepNext/>
        <w:spacing w:before="200" w:after="80"/>
      </w:pPr>
      <w:r>
        <w:rPr>
          <w:b/>
          <w:sz w:val="22"/>
        </w:rPr>
        <w:t>DFD Symbol Legend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92"/>
        <w:gridCol w:w="1728"/>
        <w:gridCol w:w="5328"/>
      </w:tblGrid>
      <w:tr>
        <w:trPr>
          <w:tblHeader w:val="true"/>
          <w:cantSplit w:val="true"/>
        </w:trPr>
        <w:tc>
          <w:tcPr>
            <w:tcW w:type="dxa" w:w="2592"/>
            <w:shd w:val="clear" w:color="auto" w:fill="D9E2F3"/>
          </w:tcPr>
          <w:p>
            <w:r/>
            <w:r>
              <w:rPr>
                <w:b/>
                <w:sz w:val="20"/>
              </w:rPr>
              <w:t>Symbol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5328"/>
            <w:shd w:val="clear" w:color="auto" w:fill="D9E2F3"/>
          </w:tcPr>
          <w:p>
            <w:r/>
            <w:r>
              <w:rPr>
                <w:b/>
                <w:sz w:val="20"/>
              </w:rPr>
              <w:t>Description (in EduGenie)</w:t>
            </w:r>
          </w:p>
        </w:tc>
      </w:tr>
      <w:tr>
        <w:trPr>
          <w:cantSplit w:val="true"/>
        </w:trPr>
        <w:tc>
          <w:tcPr>
            <w:tcW w:type="dxa" w:w="2592"/>
          </w:tcPr>
          <w:p>
            <w:pPr>
              <w:spacing w:after="20"/>
            </w:pPr>
            <w:r/>
            <w:r>
              <w:rPr>
                <w:sz w:val="20"/>
              </w:rPr>
              <w:t>Oval / Rounded shape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External Entity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Student / Learner, Google Gemini API, LaMini-Flan-T5 local model</w:t>
            </w:r>
          </w:p>
        </w:tc>
      </w:tr>
      <w:tr>
        <w:trPr>
          <w:cantSplit w:val="true"/>
        </w:trPr>
        <w:tc>
          <w:tcPr>
            <w:tcW w:type="dxa" w:w="2592"/>
          </w:tcPr>
          <w:p>
            <w:pPr>
              <w:spacing w:after="20"/>
            </w:pPr>
            <w:r/>
            <w:r>
              <w:rPr>
                <w:sz w:val="20"/>
              </w:rPr>
              <w:t>Rectangle with numbered header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Process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1 Request Handling, 2 AI Generation, 3 Explanation, 4 Response Formatting</w:t>
            </w:r>
          </w:p>
        </w:tc>
      </w:tr>
      <w:tr>
        <w:trPr>
          <w:cantSplit w:val="true"/>
        </w:trPr>
        <w:tc>
          <w:tcPr>
            <w:tcW w:type="dxa" w:w="2592"/>
          </w:tcPr>
          <w:p>
            <w:pPr>
              <w:spacing w:after="20"/>
            </w:pPr>
            <w:r/>
            <w:r>
              <w:rPr>
                <w:sz w:val="20"/>
              </w:rPr>
              <w:t>Rectangle (solid fill, no number)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Data Store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.env configuration (API key, model name, explanation backend). EduGenie stores no user data.</w:t>
            </w:r>
          </w:p>
        </w:tc>
      </w:tr>
      <w:tr>
        <w:trPr>
          <w:cantSplit w:val="true"/>
        </w:trPr>
        <w:tc>
          <w:tcPr>
            <w:tcW w:type="dxa" w:w="2592"/>
          </w:tcPr>
          <w:p>
            <w:pPr>
              <w:spacing w:after="20"/>
            </w:pPr>
            <w:r/>
            <w:r>
              <w:rPr>
                <w:sz w:val="20"/>
              </w:rPr>
              <w:t>Labeled arrow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Data Flow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Question / topic / text, prompts, generated text, JSON responses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564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64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Figure: EduGenie Data Flow Diagram (Level 1)</w:t>
      </w:r>
    </w:p>
    <w:p>
      <w:pPr>
        <w:keepNext/>
        <w:spacing w:before="200" w:after="80"/>
      </w:pPr>
      <w:r>
        <w:rPr>
          <w:b/>
          <w:sz w:val="22"/>
        </w:rPr>
        <w:t>Process Description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72"/>
        <w:gridCol w:w="2015"/>
        <w:gridCol w:w="2015"/>
        <w:gridCol w:w="3744"/>
      </w:tblGrid>
      <w:tr>
        <w:trPr>
          <w:tblHeader w:val="true"/>
          <w:cantSplit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  <w:sz w:val="19"/>
              </w:rPr>
              <w:t>Input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  <w:sz w:val="19"/>
              </w:rPr>
              <w:t>Output</w:t>
            </w:r>
          </w:p>
        </w:tc>
        <w:tc>
          <w:tcPr>
            <w:tcW w:type="dxa" w:w="3744"/>
            <w:shd w:val="clear" w:color="auto" w:fill="D9E2F3"/>
          </w:tcPr>
          <w:p>
            <w:r/>
            <w:r>
              <w:rPr>
                <w:b/>
                <w:sz w:val="19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1. Request Handling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Question, topic or passage from the student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Validated request routed to the right module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FastAPI endpoints (/qa, /explain, /quiz, /summarize, /learn/recommendations) check for empty / too-long input (HTTP 400).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2. AI Generation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Validated text + feature-specific prompt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Raw Gemini text / JSON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gemini_client.py sends the prompt to Google Gemini (gemini-flash-latest) using the API key from .env.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3. Explanation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Topic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Simple explanation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Uses the local LaMini-Flan-T5-783M model when installed, otherwise (or on error) falls back to Gemini.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4. Response Formatting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Raw AI output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JSON response for the browser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Cleans Markdown code fences, validates quiz JSON (4 options, answer in options) and maps errors to 502/503.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Flow Diagram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