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/>
        <w:jc w:val="center"/>
      </w:pPr>
      <w:r>
        <w:rPr>
          <w:b/>
          <w:sz w:val="30"/>
        </w:rPr>
        <w:t>Problem-Solution Fit</w:t>
      </w:r>
    </w:p>
    <w:tbl>
      <w:tblPr>
        <w:tblStyle w:val="TableGrid"/>
        <w:tblW w:type="dxa" w:w="9648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80"/>
        <w:gridCol w:w="6768"/>
      </w:tblGrid>
      <w:tr>
        <w:tc>
          <w:tcPr>
            <w:tcW w:type="dxa" w:w="288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/>
            <w:r>
              <w:rPr>
                <w:b/>
              </w:rPr>
              <w:t>Date</w:t>
            </w:r>
          </w:p>
        </w:tc>
        <w:tc>
          <w:tcPr>
            <w:tcW w:type="dxa" w:w="6768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/>
          </w:p>
        </w:tc>
      </w:tr>
      <w:tr>
        <w:tc>
          <w:tcPr>
            <w:tcW w:type="dxa" w:w="288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/>
            <w:r>
              <w:rPr>
                <w:b/>
              </w:rPr>
              <w:t>Team ID</w:t>
            </w:r>
          </w:p>
        </w:tc>
        <w:tc>
          <w:tcPr>
            <w:tcW w:type="dxa" w:w="6768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>
              <w:t>xxxxxx</w:t>
            </w:r>
          </w:p>
        </w:tc>
      </w:tr>
      <w:tr>
        <w:tc>
          <w:tcPr>
            <w:tcW w:type="dxa" w:w="288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/>
            <w:r>
              <w:rPr>
                <w:b/>
              </w:rPr>
              <w:t>Project Name</w:t>
            </w:r>
          </w:p>
        </w:tc>
        <w:tc>
          <w:tcPr>
            <w:tcW w:type="dxa" w:w="6768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>
              <w:t>EduGenie: Google Gemini Powered Learning Assistant</w:t>
            </w:r>
          </w:p>
        </w:tc>
      </w:tr>
      <w:tr>
        <w:tc>
          <w:tcPr>
            <w:tcW w:type="dxa" w:w="288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/>
            <w:r>
              <w:rPr>
                <w:b/>
              </w:rPr>
              <w:t>Maximum Marks</w:t>
            </w:r>
          </w:p>
        </w:tc>
        <w:tc>
          <w:tcPr>
            <w:tcW w:type="dxa" w:w="6768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>
              <w:t>5 Marks</w:t>
            </w:r>
          </w:p>
        </w:tc>
      </w:tr>
    </w:tbl>
    <w:p>
      <w:pPr>
        <w:spacing w:after="0"/>
      </w:pPr>
    </w:p>
    <w:p>
      <w:pPr>
        <w:keepNext/>
        <w:spacing w:before="200" w:after="80"/>
      </w:pPr>
      <w:r>
        <w:rPr>
          <w:b/>
          <w:sz w:val="24"/>
        </w:rPr>
        <w:t>Problem-Solution Fit Canvas:</w:t>
      </w:r>
    </w:p>
    <w:p>
      <w:pPr>
        <w:keepNext w:val="0"/>
        <w:jc w:val="both"/>
      </w:pPr>
      <w:r>
        <w:rPr>
          <w:i w:val="0"/>
        </w:rPr>
        <w:t>The canvas below checks that EduGenie addresses the root causes, behaviors and limitations of its target audience.</w:t>
      </w:r>
    </w:p>
    <w:tbl>
      <w:tblPr>
        <w:tblW w:type="dxa" w:w="972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240"/>
        <w:gridCol w:w="3240"/>
        <w:gridCol w:w="3240"/>
      </w:tblGrid>
      <w:tr>
        <w:tc>
          <w:tcPr>
            <w:tcW w:type="dxa" w:w="3240"/>
            <w:tcBorders>
              <w:top w:val="single" w:sz="18" w:color="F97316"/>
              <w:left w:val="single" w:sz="18" w:color="F97316"/>
              <w:bottom w:val="single" w:sz="18" w:color="F97316"/>
              <w:right w:val="single" w:sz="18" w:color="F97316"/>
            </w:tcBorders>
          </w:tcPr>
          <w:p>
            <w:r>
              <w:rPr>
                <w:b/>
              </w:rPr>
              <w:t>1. CUSTOMER SEGMENT(S) [CS]</w:t>
            </w:r>
          </w:p>
          <w:p>
            <w:r>
              <w:rPr>
                <w:sz w:val="20"/>
              </w:rPr>
              <w:t>School and college students, self-learners and beginners learning a new skill (e.g. SQL).</w:t>
            </w:r>
          </w:p>
        </w:tc>
        <w:tc>
          <w:tcPr>
            <w:tcW w:type="dxa" w:w="3240"/>
            <w:tcBorders>
              <w:top w:val="single" w:sz="18" w:color="F97316"/>
              <w:left w:val="single" w:sz="18" w:color="F97316"/>
              <w:bottom w:val="single" w:sz="18" w:color="F97316"/>
              <w:right w:val="single" w:sz="18" w:color="F97316"/>
            </w:tcBorders>
          </w:tcPr>
          <w:p>
            <w:r>
              <w:rPr>
                <w:b/>
              </w:rPr>
              <w:t>6. CUSTOMER LIMITATIONS [CL]</w:t>
            </w:r>
          </w:p>
          <w:p>
            <w:r>
              <w:rPr>
                <w:sz w:val="20"/>
              </w:rPr>
              <w:t>Limited time before exams, little or no budget for tutors, low-end laptops or phones, limited access to teachers after class.</w:t>
            </w:r>
          </w:p>
        </w:tc>
        <w:tc>
          <w:tcPr>
            <w:tcW w:type="dxa" w:w="3240"/>
            <w:tcBorders>
              <w:top w:val="single" w:sz="18" w:color="F97316"/>
              <w:left w:val="single" w:sz="18" w:color="F97316"/>
              <w:bottom w:val="single" w:sz="18" w:color="F97316"/>
              <w:right w:val="single" w:sz="18" w:color="F97316"/>
            </w:tcBorders>
          </w:tcPr>
          <w:p>
            <w:r>
              <w:rPr>
                <w:b/>
              </w:rPr>
              <w:t>5. AVAILABLE SOLUTIONS - PROS &amp; CONS [AS]</w:t>
            </w:r>
          </w:p>
          <w:p>
            <w:r>
              <w:rPr>
                <w:sz w:val="20"/>
              </w:rPr>
              <w:t>Search engines / YouTube: free but scattered and too long. Private tutors: personal but costly. Textbooks: reliable but dense. Generic chatbots: powerful but not focused on learning tasks.</w:t>
            </w:r>
          </w:p>
        </w:tc>
      </w:tr>
      <w:tr>
        <w:tc>
          <w:tcPr>
            <w:tcW w:type="dxa" w:w="3240"/>
            <w:tcBorders>
              <w:top w:val="single" w:sz="18" w:color="F97316"/>
              <w:left w:val="single" w:sz="18" w:color="F97316"/>
              <w:bottom w:val="single" w:sz="18" w:color="F97316"/>
              <w:right w:val="single" w:sz="18" w:color="F97316"/>
            </w:tcBorders>
          </w:tcPr>
          <w:p>
            <w:r>
              <w:rPr>
                <w:b/>
              </w:rPr>
              <w:t>2. PROBLEMS / PAINS + FREQUENCY [PR]</w:t>
            </w:r>
          </w:p>
          <w:p>
            <w:r>
              <w:rPr>
                <w:sz w:val="20"/>
              </w:rPr>
              <w:t>Hard-to-understand concepts, no practice questions, long chapters to revise, no study plan - faced daily during study and exam weeks.</w:t>
            </w:r>
          </w:p>
        </w:tc>
        <w:tc>
          <w:tcPr>
            <w:tcW w:type="dxa" w:w="3240"/>
            <w:tcBorders>
              <w:top w:val="single" w:sz="18" w:color="F97316"/>
              <w:left w:val="single" w:sz="18" w:color="F97316"/>
              <w:bottom w:val="single" w:sz="18" w:color="F97316"/>
              <w:right w:val="single" w:sz="18" w:color="F97316"/>
            </w:tcBorders>
          </w:tcPr>
          <w:p>
            <w:r>
              <w:rPr>
                <w:b/>
              </w:rPr>
              <w:t>9. PROBLEM ROOT / CAUSE [RC]</w:t>
            </w:r>
          </w:p>
          <w:p>
            <w:r>
              <w:rPr>
                <w:sz w:val="20"/>
              </w:rPr>
              <w:t>Learning content is one-size-fits-all, not simplified, and offers no instant feedback or personalized guidance.</w:t>
            </w:r>
          </w:p>
        </w:tc>
        <w:tc>
          <w:tcPr>
            <w:tcW w:type="dxa" w:w="3240"/>
            <w:tcBorders>
              <w:top w:val="single" w:sz="18" w:color="F97316"/>
              <w:left w:val="single" w:sz="18" w:color="F97316"/>
              <w:bottom w:val="single" w:sz="18" w:color="F97316"/>
              <w:right w:val="single" w:sz="18" w:color="F97316"/>
            </w:tcBorders>
          </w:tcPr>
          <w:p>
            <w:r>
              <w:rPr>
                <w:b/>
              </w:rPr>
              <w:t>7. BEHAVIOR + INTENSITY [BE]</w:t>
            </w:r>
          </w:p>
          <w:p>
            <w:r>
              <w:rPr>
                <w:sz w:val="20"/>
              </w:rPr>
              <w:t>Students search online, watch long videos, re-read notes and ask friends - spending hours, with high stress before exams.</w:t>
            </w:r>
          </w:p>
        </w:tc>
      </w:tr>
      <w:tr>
        <w:tc>
          <w:tcPr>
            <w:tcW w:type="dxa" w:w="3240"/>
            <w:tcBorders>
              <w:top w:val="single" w:sz="18" w:color="F97316"/>
              <w:left w:val="single" w:sz="18" w:color="F97316"/>
              <w:bottom w:val="single" w:sz="18" w:color="F97316"/>
              <w:right w:val="single" w:sz="18" w:color="F97316"/>
            </w:tcBorders>
          </w:tcPr>
          <w:p>
            <w:r>
              <w:rPr>
                <w:b/>
              </w:rPr>
              <w:t>3. TRIGGERS TO ACT [TR]</w:t>
            </w:r>
          </w:p>
          <w:p>
            <w:r>
              <w:rPr>
                <w:sz w:val="20"/>
              </w:rPr>
              <w:t>Upcoming tests, a doubt during homework, a peer recommending an AI study tool, wanting to start a new skill.</w:t>
            </w:r>
          </w:p>
        </w:tc>
        <w:tc>
          <w:tcPr>
            <w:tcW w:type="dxa" w:w="3240"/>
            <w:vMerge w:val="restart"/>
            <w:tcBorders>
              <w:top w:val="single" w:sz="18" w:color="F97316"/>
              <w:left w:val="single" w:sz="18" w:color="F97316"/>
              <w:bottom w:val="single" w:sz="18" w:color="F97316"/>
              <w:right w:val="single" w:sz="18" w:color="F97316"/>
            </w:tcBorders>
          </w:tcPr>
          <w:p>
            <w:r>
              <w:rPr>
                <w:b/>
              </w:rPr>
              <w:t>10. YOUR SOLUTION [SL]</w:t>
            </w:r>
          </w:p>
          <w:p>
            <w:r>
              <w:rPr>
                <w:sz w:val="20"/>
              </w:rPr>
              <w:t>EduGenie - a free, lightweight web app powered by Google Gemini that gives instant answers, simple explanations (local LaMini-Flan-T5 or Gemini), auto-generated quizzes with feedback, concise summaries and personalized beginner-to-advanced learning paths.</w:t>
            </w:r>
          </w:p>
        </w:tc>
        <w:tc>
          <w:tcPr>
            <w:tcW w:type="dxa" w:w="3240"/>
            <w:vMerge w:val="restart"/>
            <w:tcBorders>
              <w:top w:val="single" w:sz="18" w:color="F97316"/>
              <w:left w:val="single" w:sz="18" w:color="F97316"/>
              <w:bottom w:val="single" w:sz="18" w:color="F97316"/>
              <w:right w:val="single" w:sz="18" w:color="F97316"/>
            </w:tcBorders>
          </w:tcPr>
          <w:p>
            <w:r>
              <w:rPr>
                <w:b/>
              </w:rPr>
              <w:t>8. CHANNELS OF BEHAVIOR [CH]</w:t>
            </w:r>
          </w:p>
          <w:p>
            <w:r>
              <w:rPr>
                <w:sz w:val="20"/>
              </w:rPr>
              <w:t>ONLINE: uses EduGenie in the browser, searches the web, watches tutorials.</w:t>
              <w:br/>
              <w:t>OFFLINE: classroom learning, textbooks, group study; local explanation model works without cloud AI.</w:t>
            </w:r>
          </w:p>
        </w:tc>
      </w:tr>
      <w:tr>
        <w:tc>
          <w:tcPr>
            <w:tcW w:type="dxa" w:w="3240"/>
            <w:tcBorders>
              <w:top w:val="single" w:sz="18" w:color="F97316"/>
              <w:left w:val="single" w:sz="18" w:color="F97316"/>
              <w:bottom w:val="single" w:sz="18" w:color="F97316"/>
              <w:right w:val="single" w:sz="18" w:color="F97316"/>
            </w:tcBorders>
          </w:tcPr>
          <w:p>
            <w:r>
              <w:rPr>
                <w:b/>
              </w:rPr>
              <w:t>4. EMOTIONS BEFORE / AFTER [EM]</w:t>
            </w:r>
          </w:p>
          <w:p>
            <w:r>
              <w:rPr>
                <w:sz w:val="20"/>
              </w:rPr>
              <w:t>Before: confused, anxious, overwhelmed.</w:t>
              <w:br/>
              <w:t>After: confident, motivated, in control of learning.</w:t>
            </w:r>
          </w:p>
        </w:tc>
        <w:tc>
          <w:tcPr>
            <w:tcW w:type="dxa" w:w="3216"/>
            <w:vMerge/>
            <w:tcBorders>
              <w:top w:val="single" w:sz="18" w:color="F97316"/>
              <w:left w:val="single" w:sz="18" w:color="F97316"/>
              <w:bottom w:val="single" w:sz="18" w:color="F97316"/>
              <w:right w:val="single" w:sz="18" w:color="F97316"/>
            </w:tcBorders>
          </w:tcPr>
          <w:p/>
        </w:tc>
        <w:tc>
          <w:tcPr>
            <w:tcW w:type="dxa" w:w="3216"/>
            <w:vMerge/>
            <w:tcBorders>
              <w:top w:val="single" w:sz="18" w:color="F97316"/>
              <w:left w:val="single" w:sz="18" w:color="F97316"/>
              <w:bottom w:val="single" w:sz="18" w:color="F97316"/>
              <w:right w:val="single" w:sz="18" w:color="F97316"/>
            </w:tcBorders>
          </w:tcPr>
          <w:p/>
        </w:tc>
      </w:tr>
    </w:tbl>
    <w:sectPr w:rsidR="00FC693F" w:rsidRPr="0006063C" w:rsidSect="00034616">
      <w:headerReference w:type="default" r:id="rId9"/>
      <w:pgSz w:w="12240" w:h="15840"/>
      <w:pgMar w:top="1296" w:right="1296" w:bottom="1152" w:left="1296" w:header="504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dxa" w:w="9648"/>
      <w:jc w:val="center"/>
      <w:tblLayout w:type="fixed"/>
      <w:tblLook w:firstColumn="1" w:firstRow="1" w:lastColumn="0" w:lastRow="0" w:noHBand="0" w:noVBand="1" w:val="04A0"/>
      <w:tblLayout w:type="fixed"/>
    </w:tblPr>
    <w:tblGrid>
      <w:gridCol w:w="4824"/>
      <w:gridCol w:w="4824"/>
    </w:tblGrid>
    <w:tr>
      <w:tc>
        <w:tcPr>
          <w:tcW w:type="dxa" w:w="4824"/>
        </w:tcPr>
        <w:p>
          <w:r>
            <w:drawing>
              <wp:inline xmlns:a="http://schemas.openxmlformats.org/drawingml/2006/main" xmlns:pic="http://schemas.openxmlformats.org/drawingml/2006/picture">
                <wp:extent cx="1600200" cy="670396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0_X4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00200" cy="670396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824"/>
        </w:tcPr>
        <w:p>
          <w:pPr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1051560" cy="485652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1_X7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51560" cy="485652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Times New Roman" w:hAnsi="Times New Roman" w:eastAsia="Times New Roman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Problem-Solution Fit - EduGenie: Google Gemini Powered Learning Assistant</dc:title>
  <dc:subject/>
  <dc:creator>Arumparithi 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