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b/>
          <w:sz w:val="30"/>
        </w:rPr>
        <w:t>Data Flow Diagram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6768"/>
      </w:tblGrid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Team ID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xxxxxx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Project Name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EduGenie: Google Gemini Powered Learning Assistant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Maximum Marks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2 Marks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4"/>
        </w:rPr>
        <w:t>Data Flow Diagram</w:t>
      </w:r>
    </w:p>
    <w:p>
      <w:pPr>
        <w:keepNext w:val="0"/>
        <w:jc w:val="both"/>
      </w:pPr>
      <w:r>
        <w:rPr>
          <w:i w:val="0"/>
        </w:rPr>
        <w:t>The Data Flow Diagram (DFD) below shows how data moves through EduGenie - between external entities, processes and data stores.</w:t>
      </w:r>
    </w:p>
    <w:p>
      <w:pPr>
        <w:keepNext/>
        <w:spacing w:before="200" w:after="80"/>
      </w:pPr>
      <w:r>
        <w:rPr>
          <w:b/>
          <w:sz w:val="22"/>
        </w:rPr>
        <w:t>DFD Symbol Legend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92"/>
        <w:gridCol w:w="1728"/>
        <w:gridCol w:w="5328"/>
      </w:tblGrid>
      <w:tr>
        <w:trPr>
          <w:tblHeader w:val="true"/>
          <w:cantSplit w:val="true"/>
        </w:trPr>
        <w:tc>
          <w:tcPr>
            <w:tcW w:type="dxa" w:w="2592"/>
            <w:shd w:val="clear" w:color="auto" w:fill="D9E2F3"/>
          </w:tcPr>
          <w:p>
            <w:r/>
            <w:r>
              <w:rPr>
                <w:b/>
                <w:sz w:val="20"/>
              </w:rPr>
              <w:t>Symbol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5328"/>
            <w:shd w:val="clear" w:color="auto" w:fill="D9E2F3"/>
          </w:tcPr>
          <w:p>
            <w:r/>
            <w:r>
              <w:rPr>
                <w:b/>
                <w:sz w:val="20"/>
              </w:rPr>
              <w:t>Description (in EduGenie)</w:t>
            </w:r>
          </w:p>
        </w:tc>
      </w:tr>
      <w:tr>
        <w:trPr>
          <w:cantSplit w:val="true"/>
        </w:trPr>
        <w:tc>
          <w:tcPr>
            <w:tcW w:type="dxa" w:w="2592"/>
          </w:tcPr>
          <w:p>
            <w:pPr>
              <w:spacing w:after="20"/>
            </w:pPr>
            <w:r/>
            <w:r>
              <w:rPr>
                <w:sz w:val="20"/>
              </w:rPr>
              <w:t>Oval / Rounded shape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20"/>
              </w:rPr>
              <w:t>External Entity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sz w:val="20"/>
              </w:rPr>
              <w:t>Student / Learner, Google Gemini API, LaMini-Flan-T5 local model</w:t>
            </w:r>
          </w:p>
        </w:tc>
      </w:tr>
      <w:tr>
        <w:trPr>
          <w:cantSplit w:val="true"/>
        </w:trPr>
        <w:tc>
          <w:tcPr>
            <w:tcW w:type="dxa" w:w="2592"/>
          </w:tcPr>
          <w:p>
            <w:pPr>
              <w:spacing w:after="20"/>
            </w:pPr>
            <w:r/>
            <w:r>
              <w:rPr>
                <w:sz w:val="20"/>
              </w:rPr>
              <w:t>Rectangle with numbered header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20"/>
              </w:rPr>
              <w:t>Process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sz w:val="20"/>
              </w:rPr>
              <w:t>1 Request Handling, 2 AI Generation, 3 Explanation, 4 Response Formatting</w:t>
            </w:r>
          </w:p>
        </w:tc>
      </w:tr>
      <w:tr>
        <w:trPr>
          <w:cantSplit w:val="true"/>
        </w:trPr>
        <w:tc>
          <w:tcPr>
            <w:tcW w:type="dxa" w:w="2592"/>
          </w:tcPr>
          <w:p>
            <w:pPr>
              <w:spacing w:after="20"/>
            </w:pPr>
            <w:r/>
            <w:r>
              <w:rPr>
                <w:sz w:val="20"/>
              </w:rPr>
              <w:t>Rectangle (solid fill, no number)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20"/>
              </w:rPr>
              <w:t>Data Store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sz w:val="20"/>
              </w:rPr>
              <w:t>.env configuration (API key, model name, explanation backend). EduGenie stores no user data.</w:t>
            </w:r>
          </w:p>
        </w:tc>
      </w:tr>
      <w:tr>
        <w:trPr>
          <w:cantSplit w:val="true"/>
        </w:trPr>
        <w:tc>
          <w:tcPr>
            <w:tcW w:type="dxa" w:w="2592"/>
          </w:tcPr>
          <w:p>
            <w:pPr>
              <w:spacing w:after="20"/>
            </w:pPr>
            <w:r/>
            <w:r>
              <w:rPr>
                <w:sz w:val="20"/>
              </w:rPr>
              <w:t>Labeled arrow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20"/>
              </w:rPr>
              <w:t>Data Flow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sz w:val="20"/>
              </w:rPr>
              <w:t>Question / topic / text, prompts, generated text, JSON responses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5644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64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EduGenie Data Flow Diagram (Level 1)</w:t>
      </w:r>
    </w:p>
    <w:p>
      <w:pPr>
        <w:keepNext/>
        <w:spacing w:before="200" w:after="80"/>
      </w:pPr>
      <w:r>
        <w:rPr>
          <w:b/>
          <w:sz w:val="22"/>
        </w:rPr>
        <w:t>Process Description</w:t>
      </w:r>
    </w:p>
    <w:tbl>
      <w:tblPr>
        <w:tblStyle w:val="TableGrid"/>
        <w:tblW w:type="dxa" w:w="9647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2"/>
        <w:gridCol w:w="2015"/>
        <w:gridCol w:w="2015"/>
        <w:gridCol w:w="3744"/>
      </w:tblGrid>
      <w:tr>
        <w:trPr>
          <w:tblHeader w:val="true"/>
          <w:cantSplit w:val="true"/>
        </w:trPr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9"/>
              </w:rPr>
              <w:t>Process</w:t>
            </w:r>
          </w:p>
        </w:tc>
        <w:tc>
          <w:tcPr>
            <w:tcW w:type="dxa" w:w="2016"/>
            <w:shd w:val="clear" w:color="auto" w:fill="D9E2F3"/>
          </w:tcPr>
          <w:p>
            <w:r/>
            <w:r>
              <w:rPr>
                <w:b/>
                <w:sz w:val="19"/>
              </w:rPr>
              <w:t>Input</w:t>
            </w:r>
          </w:p>
        </w:tc>
        <w:tc>
          <w:tcPr>
            <w:tcW w:type="dxa" w:w="2016"/>
            <w:shd w:val="clear" w:color="auto" w:fill="D9E2F3"/>
          </w:tcPr>
          <w:p>
            <w:r/>
            <w:r>
              <w:rPr>
                <w:b/>
                <w:sz w:val="19"/>
              </w:rPr>
              <w:t>Output</w:t>
            </w:r>
          </w:p>
        </w:tc>
        <w:tc>
          <w:tcPr>
            <w:tcW w:type="dxa" w:w="3744"/>
            <w:shd w:val="clear" w:color="auto" w:fill="D9E2F3"/>
          </w:tcPr>
          <w:p>
            <w:r/>
            <w:r>
              <w:rPr>
                <w:b/>
                <w:sz w:val="19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9"/>
              </w:rPr>
              <w:t>1. Request Handling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Question, topic or passage from the student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Validated request routed to the right module</w:t>
            </w:r>
          </w:p>
        </w:tc>
        <w:tc>
          <w:tcPr>
            <w:tcW w:type="dxa" w:w="3744"/>
          </w:tcPr>
          <w:p>
            <w:pPr>
              <w:spacing w:after="20"/>
            </w:pPr>
            <w:r/>
            <w:r>
              <w:rPr>
                <w:sz w:val="19"/>
              </w:rPr>
              <w:t>FastAPI endpoints (/qa, /explain, /quiz, /summarize, /learn/recommendations) check for empty / too-long input (HTTP 400).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9"/>
              </w:rPr>
              <w:t>2. AI Generation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Validated text + feature-specific prompt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Raw Gemini text / JSON</w:t>
            </w:r>
          </w:p>
        </w:tc>
        <w:tc>
          <w:tcPr>
            <w:tcW w:type="dxa" w:w="3744"/>
          </w:tcPr>
          <w:p>
            <w:pPr>
              <w:spacing w:after="20"/>
            </w:pPr>
            <w:r/>
            <w:r>
              <w:rPr>
                <w:sz w:val="19"/>
              </w:rPr>
              <w:t>gemini_client.py sends the prompt to Google Gemini (gemini-flash-latest) using the API key from .env.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9"/>
              </w:rPr>
              <w:t>3. Explanation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Topic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Simple explanation</w:t>
            </w:r>
          </w:p>
        </w:tc>
        <w:tc>
          <w:tcPr>
            <w:tcW w:type="dxa" w:w="3744"/>
          </w:tcPr>
          <w:p>
            <w:pPr>
              <w:spacing w:after="20"/>
            </w:pPr>
            <w:r/>
            <w:r>
              <w:rPr>
                <w:sz w:val="19"/>
              </w:rPr>
              <w:t>Uses the local LaMini-Flan-T5-783M model when installed, otherwise (or on error) falls back to Gemini.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9"/>
              </w:rPr>
              <w:t>4. Response Formatting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Raw AI output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JSON response for the browser</w:t>
            </w:r>
          </w:p>
        </w:tc>
        <w:tc>
          <w:tcPr>
            <w:tcW w:type="dxa" w:w="3744"/>
          </w:tcPr>
          <w:p>
            <w:pPr>
              <w:spacing w:after="20"/>
            </w:pPr>
            <w:r/>
            <w:r>
              <w:rPr>
                <w:sz w:val="19"/>
              </w:rPr>
              <w:t>Cleans Markdown code fences, validates quiz JSON (4 options, answer in options) and maps errors to 502/503.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pgSz w:w="12240" w:h="15840"/>
      <w:pgMar w:top="1296" w:right="1296" w:bottom="1152" w:left="1296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648"/>
      <w:jc w:val="center"/>
      <w:tblLayout w:type="fixed"/>
      <w:tblLook w:firstColumn="1" w:firstRow="1" w:lastColumn="0" w:lastRow="0" w:noHBand="0" w:noVBand="1" w:val="04A0"/>
      <w:tblLayout w:type="fixed"/>
    </w:tblPr>
    <w:tblGrid>
      <w:gridCol w:w="4824"/>
      <w:gridCol w:w="4824"/>
    </w:tblGrid>
    <w:tr>
      <w:tc>
        <w:tcPr>
          <w:tcW w:type="dxa" w:w="4824"/>
        </w:tcPr>
        <w:p>
          <w:r>
            <w:drawing>
              <wp:inline xmlns:a="http://schemas.openxmlformats.org/drawingml/2006/main" xmlns:pic="http://schemas.openxmlformats.org/drawingml/2006/picture">
                <wp:extent cx="1600200" cy="67039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0_X4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200" cy="67039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24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51560" cy="48565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1_X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48565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 - EduGenie: Google Gemini Powered Learning Assistant</dc:title>
  <dc:subject/>
  <dc:creator>Arumparithi 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