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200"/>
        <w:jc w:val="center"/>
      </w:pPr>
      <w:r>
        <w:rPr>
          <w:b/>
          <w:sz w:val="30"/>
        </w:rPr>
        <w:t>Solution Requirements</w:t>
      </w:r>
    </w:p>
    <w:tbl>
      <w:tblPr>
        <w:tblStyle w:val="TableGrid"/>
        <w:tblW w:type="dxa" w:w="9648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880"/>
        <w:gridCol w:w="6768"/>
      </w:tblGrid>
      <w:tr>
        <w:tc>
          <w:tcPr>
            <w:tcW w:type="dxa" w:w="2880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/>
            <w:r>
              <w:rPr>
                <w:b/>
              </w:rPr>
              <w:t>Date</w:t>
            </w:r>
          </w:p>
        </w:tc>
        <w:tc>
          <w:tcPr>
            <w:tcW w:type="dxa" w:w="6768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/>
          </w:p>
        </w:tc>
      </w:tr>
      <w:tr>
        <w:tc>
          <w:tcPr>
            <w:tcW w:type="dxa" w:w="2880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/>
            <w:r>
              <w:rPr>
                <w:b/>
              </w:rPr>
              <w:t>Team ID</w:t>
            </w:r>
          </w:p>
        </w:tc>
        <w:tc>
          <w:tcPr>
            <w:tcW w:type="dxa" w:w="6768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>
              <w:t>xxxxxx</w:t>
            </w:r>
          </w:p>
        </w:tc>
      </w:tr>
      <w:tr>
        <w:tc>
          <w:tcPr>
            <w:tcW w:type="dxa" w:w="2880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/>
            <w:r>
              <w:rPr>
                <w:b/>
              </w:rPr>
              <w:t>Project Name</w:t>
            </w:r>
          </w:p>
        </w:tc>
        <w:tc>
          <w:tcPr>
            <w:tcW w:type="dxa" w:w="6768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>
              <w:t>EduGenie: Google Gemini Powered Learning Assistant</w:t>
            </w:r>
          </w:p>
        </w:tc>
      </w:tr>
      <w:tr>
        <w:tc>
          <w:tcPr>
            <w:tcW w:type="dxa" w:w="2880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/>
            <w:r>
              <w:rPr>
                <w:b/>
              </w:rPr>
              <w:t>Maximum Marks</w:t>
            </w:r>
          </w:p>
        </w:tc>
        <w:tc>
          <w:tcPr>
            <w:tcW w:type="dxa" w:w="6768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>
              <w:t>4 Marks</w:t>
            </w:r>
          </w:p>
        </w:tc>
      </w:tr>
    </w:tbl>
    <w:p>
      <w:pPr>
        <w:spacing w:after="0"/>
      </w:pPr>
    </w:p>
    <w:p>
      <w:pPr>
        <w:keepNext/>
        <w:spacing w:before="200" w:after="80"/>
      </w:pPr>
      <w:r>
        <w:rPr>
          <w:b/>
          <w:sz w:val="24"/>
        </w:rPr>
        <w:t>Define Functional and Non-Functional Requirements:</w:t>
      </w:r>
    </w:p>
    <w:p>
      <w:pPr>
        <w:pStyle w:val="ListBullet"/>
        <w:spacing w:after="40"/>
      </w:pPr>
      <w:r>
        <w:t>Functional Requirements (FR) define specific behaviors, functions, or features of the system (What the system should do).</w:t>
      </w:r>
    </w:p>
    <w:p>
      <w:pPr>
        <w:pStyle w:val="ListBullet"/>
        <w:spacing w:after="40"/>
      </w:pPr>
      <w:r>
        <w:t>Non-Functional Requirements (NFR) specify the criteria that judge the operation of a system (How the system should be).</w:t>
      </w:r>
    </w:p>
    <w:p>
      <w:pPr>
        <w:keepNext/>
        <w:spacing w:before="200" w:after="80"/>
      </w:pPr>
      <w:r>
        <w:rPr>
          <w:b/>
          <w:sz w:val="24"/>
        </w:rPr>
        <w:t>Step 1: Functional Requirements (FR)</w:t>
      </w:r>
    </w:p>
    <w:tbl>
      <w:tblPr>
        <w:tblStyle w:val="TableGrid"/>
        <w:tblW w:type="dxa" w:w="9648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648"/>
        <w:gridCol w:w="1944"/>
        <w:gridCol w:w="5328"/>
        <w:gridCol w:w="1728"/>
      </w:tblGrid>
      <w:tr>
        <w:trPr>
          <w:tblHeader w:val="true"/>
          <w:cantSplit w:val="true"/>
        </w:trPr>
        <w:tc>
          <w:tcPr>
            <w:tcW w:type="dxa" w:w="648"/>
            <w:shd w:val="clear" w:color="auto" w:fill="D9E2F3"/>
          </w:tcPr>
          <w:p>
            <w:r/>
            <w:r>
              <w:rPr>
                <w:b/>
                <w:sz w:val="19"/>
              </w:rPr>
              <w:t>S.No</w:t>
            </w:r>
          </w:p>
        </w:tc>
        <w:tc>
          <w:tcPr>
            <w:tcW w:type="dxa" w:w="1944"/>
            <w:shd w:val="clear" w:color="auto" w:fill="D9E2F3"/>
          </w:tcPr>
          <w:p>
            <w:r/>
            <w:r>
              <w:rPr>
                <w:b/>
                <w:sz w:val="19"/>
              </w:rPr>
              <w:t>Requirement Category</w:t>
            </w:r>
          </w:p>
        </w:tc>
        <w:tc>
          <w:tcPr>
            <w:tcW w:type="dxa" w:w="5328"/>
            <w:shd w:val="clear" w:color="auto" w:fill="D9E2F3"/>
          </w:tcPr>
          <w:p>
            <w:r/>
            <w:r>
              <w:rPr>
                <w:b/>
                <w:sz w:val="19"/>
              </w:rPr>
              <w:t>Requirement Description</w:t>
            </w:r>
          </w:p>
        </w:tc>
        <w:tc>
          <w:tcPr>
            <w:tcW w:type="dxa" w:w="1728"/>
            <w:shd w:val="clear" w:color="auto" w:fill="D9E2F3"/>
          </w:tcPr>
          <w:p>
            <w:r/>
            <w:r>
              <w:rPr>
                <w:b/>
                <w:sz w:val="19"/>
              </w:rPr>
              <w:t>Priority (High/Medium/Low)</w:t>
            </w:r>
          </w:p>
        </w:tc>
      </w:tr>
      <w:tr>
        <w:trPr>
          <w:cantSplit w:val="true"/>
        </w:trPr>
        <w:tc>
          <w:tcPr>
            <w:tcW w:type="dxa" w:w="648"/>
          </w:tcPr>
          <w:p>
            <w:pPr>
              <w:spacing w:after="20"/>
              <w:jc w:val="center"/>
            </w:pPr>
            <w:r/>
            <w:r>
              <w:rPr>
                <w:sz w:val="19"/>
              </w:rPr>
              <w:t>1</w:t>
            </w:r>
          </w:p>
        </w:tc>
        <w:tc>
          <w:tcPr>
            <w:tcW w:type="dxa" w:w="1944"/>
          </w:tcPr>
          <w:p>
            <w:pPr>
              <w:spacing w:after="20"/>
            </w:pPr>
            <w:r/>
            <w:r>
              <w:rPr>
                <w:sz w:val="19"/>
              </w:rPr>
              <w:t>Authentication</w:t>
            </w:r>
          </w:p>
        </w:tc>
        <w:tc>
          <w:tcPr>
            <w:tcW w:type="dxa" w:w="5328"/>
          </w:tcPr>
          <w:p>
            <w:pPr>
              <w:spacing w:after="20"/>
            </w:pPr>
            <w:r/>
            <w:r>
              <w:rPr>
                <w:sz w:val="19"/>
              </w:rPr>
              <w:t>No user login is required - EduGenie is an open learning tool. The server authenticates to Google Gemini with an API key kept in a private .env file (never in source code or the browser).</w:t>
            </w:r>
          </w:p>
        </w:tc>
        <w:tc>
          <w:tcPr>
            <w:tcW w:type="dxa" w:w="1728"/>
          </w:tcPr>
          <w:p>
            <w:pPr>
              <w:spacing w:after="20"/>
              <w:jc w:val="center"/>
            </w:pPr>
            <w:r/>
            <w:r>
              <w:rPr>
                <w:sz w:val="19"/>
              </w:rPr>
              <w:t>Medium</w:t>
            </w:r>
          </w:p>
        </w:tc>
      </w:tr>
      <w:tr>
        <w:trPr>
          <w:cantSplit w:val="true"/>
        </w:trPr>
        <w:tc>
          <w:tcPr>
            <w:tcW w:type="dxa" w:w="648"/>
          </w:tcPr>
          <w:p>
            <w:pPr>
              <w:spacing w:after="20"/>
              <w:jc w:val="center"/>
            </w:pPr>
            <w:r/>
            <w:r>
              <w:rPr>
                <w:sz w:val="19"/>
              </w:rPr>
              <w:t>2</w:t>
            </w:r>
          </w:p>
        </w:tc>
        <w:tc>
          <w:tcPr>
            <w:tcW w:type="dxa" w:w="1944"/>
          </w:tcPr>
          <w:p>
            <w:pPr>
              <w:spacing w:after="20"/>
            </w:pPr>
            <w:r/>
            <w:r>
              <w:rPr>
                <w:sz w:val="19"/>
              </w:rPr>
              <w:t>Authorization</w:t>
            </w:r>
          </w:p>
        </w:tc>
        <w:tc>
          <w:tcPr>
            <w:tcW w:type="dxa" w:w="5328"/>
          </w:tcPr>
          <w:p>
            <w:pPr>
              <w:spacing w:after="20"/>
            </w:pPr>
            <w:r/>
            <w:r>
              <w:rPr>
                <w:sz w:val="19"/>
              </w:rPr>
              <w:t>Single role: Learner - can use all five features. The developer/administrator configures the API key, model and explanation backend through .env. No personal data is stored, so no role-based data access is needed.</w:t>
            </w:r>
          </w:p>
        </w:tc>
        <w:tc>
          <w:tcPr>
            <w:tcW w:type="dxa" w:w="1728"/>
          </w:tcPr>
          <w:p>
            <w:pPr>
              <w:spacing w:after="20"/>
              <w:jc w:val="center"/>
            </w:pPr>
            <w:r/>
            <w:r>
              <w:rPr>
                <w:sz w:val="19"/>
              </w:rPr>
              <w:t>Low</w:t>
            </w:r>
          </w:p>
        </w:tc>
      </w:tr>
      <w:tr>
        <w:trPr>
          <w:cantSplit w:val="true"/>
        </w:trPr>
        <w:tc>
          <w:tcPr>
            <w:tcW w:type="dxa" w:w="648"/>
          </w:tcPr>
          <w:p>
            <w:pPr>
              <w:spacing w:after="20"/>
              <w:jc w:val="center"/>
            </w:pPr>
            <w:r/>
            <w:r>
              <w:rPr>
                <w:sz w:val="19"/>
              </w:rPr>
              <w:t>3</w:t>
            </w:r>
          </w:p>
        </w:tc>
        <w:tc>
          <w:tcPr>
            <w:tcW w:type="dxa" w:w="1944"/>
          </w:tcPr>
          <w:p>
            <w:pPr>
              <w:spacing w:after="20"/>
            </w:pPr>
            <w:r/>
            <w:r>
              <w:rPr>
                <w:sz w:val="19"/>
              </w:rPr>
              <w:t>External interfaces</w:t>
            </w:r>
          </w:p>
        </w:tc>
        <w:tc>
          <w:tcPr>
            <w:tcW w:type="dxa" w:w="5328"/>
          </w:tcPr>
          <w:p>
            <w:pPr>
              <w:spacing w:after="20"/>
            </w:pPr>
            <w:r/>
            <w:r>
              <w:rPr>
                <w:sz w:val="19"/>
              </w:rPr>
              <w:t>Google Gemini API via the google-genai SDK (Q&amp;A, summary, quiz, learning path, explanation fallback); optional Hugging Face LaMini-Flan-T5-783M model (transformers + torch) for local explanations; browser-based HTML/CSS/JS frontend.</w:t>
            </w:r>
          </w:p>
        </w:tc>
        <w:tc>
          <w:tcPr>
            <w:tcW w:type="dxa" w:w="1728"/>
          </w:tcPr>
          <w:p>
            <w:pPr>
              <w:spacing w:after="20"/>
              <w:jc w:val="center"/>
            </w:pPr>
            <w:r/>
            <w:r>
              <w:rPr>
                <w:sz w:val="19"/>
              </w:rPr>
              <w:t>High</w:t>
            </w:r>
          </w:p>
        </w:tc>
      </w:tr>
      <w:tr>
        <w:trPr>
          <w:cantSplit w:val="true"/>
        </w:trPr>
        <w:tc>
          <w:tcPr>
            <w:tcW w:type="dxa" w:w="648"/>
          </w:tcPr>
          <w:p>
            <w:pPr>
              <w:spacing w:after="20"/>
              <w:jc w:val="center"/>
            </w:pPr>
            <w:r/>
            <w:r>
              <w:rPr>
                <w:sz w:val="19"/>
              </w:rPr>
              <w:t>4</w:t>
            </w:r>
          </w:p>
        </w:tc>
        <w:tc>
          <w:tcPr>
            <w:tcW w:type="dxa" w:w="1944"/>
          </w:tcPr>
          <w:p>
            <w:pPr>
              <w:spacing w:after="20"/>
            </w:pPr>
            <w:r/>
            <w:r>
              <w:rPr>
                <w:sz w:val="19"/>
              </w:rPr>
              <w:t>Transactions</w:t>
            </w:r>
          </w:p>
        </w:tc>
        <w:tc>
          <w:tcPr>
            <w:tcW w:type="dxa" w:w="5328"/>
          </w:tcPr>
          <w:p>
            <w:pPr>
              <w:spacing w:after="20"/>
            </w:pPr>
            <w:r/>
            <w:r>
              <w:rPr>
                <w:sz w:val="19"/>
              </w:rPr>
              <w:t>Each request is stateless: input -&gt; validation -&gt; prompt construction -&gt; AI call -&gt; parsing/validation -&gt; JSON response. Endpoints: GET /qa, POST /explain, POST /quiz, POST /summarize, GET /learn/recommendations, GET /health.</w:t>
            </w:r>
          </w:p>
        </w:tc>
        <w:tc>
          <w:tcPr>
            <w:tcW w:type="dxa" w:w="1728"/>
          </w:tcPr>
          <w:p>
            <w:pPr>
              <w:spacing w:after="20"/>
              <w:jc w:val="center"/>
            </w:pPr>
            <w:r/>
            <w:r>
              <w:rPr>
                <w:sz w:val="19"/>
              </w:rPr>
              <w:t>High</w:t>
            </w:r>
          </w:p>
        </w:tc>
      </w:tr>
      <w:tr>
        <w:trPr>
          <w:cantSplit w:val="true"/>
        </w:trPr>
        <w:tc>
          <w:tcPr>
            <w:tcW w:type="dxa" w:w="648"/>
          </w:tcPr>
          <w:p>
            <w:pPr>
              <w:spacing w:after="20"/>
              <w:jc w:val="center"/>
            </w:pPr>
            <w:r/>
            <w:r>
              <w:rPr>
                <w:sz w:val="19"/>
              </w:rPr>
              <w:t>5</w:t>
            </w:r>
          </w:p>
        </w:tc>
        <w:tc>
          <w:tcPr>
            <w:tcW w:type="dxa" w:w="1944"/>
          </w:tcPr>
          <w:p>
            <w:pPr>
              <w:spacing w:after="20"/>
            </w:pPr>
            <w:r/>
            <w:r>
              <w:rPr>
                <w:sz w:val="19"/>
              </w:rPr>
              <w:t>Reporting</w:t>
            </w:r>
          </w:p>
        </w:tc>
        <w:tc>
          <w:tcPr>
            <w:tcW w:type="dxa" w:w="5328"/>
          </w:tcPr>
          <w:p>
            <w:pPr>
              <w:spacing w:after="20"/>
            </w:pPr>
            <w:r/>
            <w:r>
              <w:rPr>
                <w:sz w:val="19"/>
              </w:rPr>
              <w:t>Interactive quiz score shown after answering; GET /health reports configuration status; auto-generated API documentation at /docs; server logs for errors.</w:t>
            </w:r>
          </w:p>
        </w:tc>
        <w:tc>
          <w:tcPr>
            <w:tcW w:type="dxa" w:w="1728"/>
          </w:tcPr>
          <w:p>
            <w:pPr>
              <w:spacing w:after="20"/>
              <w:jc w:val="center"/>
            </w:pPr>
            <w:r/>
            <w:r>
              <w:rPr>
                <w:sz w:val="19"/>
              </w:rPr>
              <w:t>Medium</w:t>
            </w:r>
          </w:p>
        </w:tc>
      </w:tr>
      <w:tr>
        <w:trPr>
          <w:cantSplit w:val="true"/>
        </w:trPr>
        <w:tc>
          <w:tcPr>
            <w:tcW w:type="dxa" w:w="648"/>
          </w:tcPr>
          <w:p>
            <w:pPr>
              <w:spacing w:after="20"/>
              <w:jc w:val="center"/>
            </w:pPr>
            <w:r/>
            <w:r>
              <w:rPr>
                <w:sz w:val="19"/>
              </w:rPr>
              <w:t>6</w:t>
            </w:r>
          </w:p>
        </w:tc>
        <w:tc>
          <w:tcPr>
            <w:tcW w:type="dxa" w:w="1944"/>
          </w:tcPr>
          <w:p>
            <w:pPr>
              <w:spacing w:after="20"/>
            </w:pPr>
            <w:r/>
            <w:r>
              <w:rPr>
                <w:sz w:val="19"/>
              </w:rPr>
              <w:t>Business rules, etc.</w:t>
            </w:r>
          </w:p>
        </w:tc>
        <w:tc>
          <w:tcPr>
            <w:tcW w:type="dxa" w:w="5328"/>
          </w:tcPr>
          <w:p>
            <w:pPr>
              <w:spacing w:after="20"/>
            </w:pPr>
            <w:r/>
            <w:r>
              <w:rPr>
                <w:sz w:val="19"/>
              </w:rPr>
              <w:t>Quiz: 1-10 MCQs (default 3), exactly 4 options, answer must match one option, invalid items discarded. Learning path levels: beginner / intermediate / advanced. Input limits: 300 characters for topics, 20,000 for passages. Empty input returns HTTP 400.</w:t>
            </w:r>
          </w:p>
        </w:tc>
        <w:tc>
          <w:tcPr>
            <w:tcW w:type="dxa" w:w="1728"/>
          </w:tcPr>
          <w:p>
            <w:pPr>
              <w:spacing w:after="20"/>
              <w:jc w:val="center"/>
            </w:pPr>
            <w:r/>
            <w:r>
              <w:rPr>
                <w:sz w:val="19"/>
              </w:rPr>
              <w:t>High</w:t>
            </w:r>
          </w:p>
        </w:tc>
      </w:tr>
      <w:tr>
        <w:trPr>
          <w:cantSplit w:val="true"/>
        </w:trPr>
        <w:tc>
          <w:tcPr>
            <w:tcW w:type="dxa" w:w="648"/>
          </w:tcPr>
          <w:p>
            <w:pPr>
              <w:spacing w:after="20"/>
              <w:jc w:val="center"/>
            </w:pPr>
            <w:r/>
            <w:r>
              <w:rPr>
                <w:sz w:val="19"/>
              </w:rPr>
              <w:t>7</w:t>
            </w:r>
          </w:p>
        </w:tc>
        <w:tc>
          <w:tcPr>
            <w:tcW w:type="dxa" w:w="1944"/>
          </w:tcPr>
          <w:p>
            <w:pPr>
              <w:spacing w:after="20"/>
            </w:pPr>
            <w:r/>
            <w:r>
              <w:rPr>
                <w:sz w:val="19"/>
              </w:rPr>
              <w:t>Compliance to laws or regulations</w:t>
            </w:r>
          </w:p>
        </w:tc>
        <w:tc>
          <w:tcPr>
            <w:tcW w:type="dxa" w:w="5328"/>
          </w:tcPr>
          <w:p>
            <w:pPr>
              <w:spacing w:after="20"/>
            </w:pPr>
            <w:r/>
            <w:r>
              <w:rPr>
                <w:sz w:val="19"/>
              </w:rPr>
              <w:t>No personal data is collected or stored (privacy by design); API keys are kept out of version control (.gitignore); usage follows the Google Gemini API Terms of Service; AI output is presented as learning assistance.</w:t>
            </w:r>
          </w:p>
        </w:tc>
        <w:tc>
          <w:tcPr>
            <w:tcW w:type="dxa" w:w="1728"/>
          </w:tcPr>
          <w:p>
            <w:pPr>
              <w:spacing w:after="20"/>
              <w:jc w:val="center"/>
            </w:pPr>
            <w:r/>
            <w:r>
              <w:rPr>
                <w:sz w:val="19"/>
              </w:rPr>
              <w:t>Medium</w:t>
            </w:r>
          </w:p>
        </w:tc>
      </w:tr>
      <w:tr>
        <w:trPr>
          <w:cantSplit w:val="true"/>
        </w:trPr>
        <w:tc>
          <w:tcPr>
            <w:tcW w:type="dxa" w:w="648"/>
          </w:tcPr>
          <w:p>
            <w:pPr>
              <w:spacing w:after="20"/>
              <w:jc w:val="center"/>
            </w:pPr>
            <w:r/>
            <w:r>
              <w:rPr>
                <w:sz w:val="19"/>
              </w:rPr>
              <w:t>8</w:t>
            </w:r>
          </w:p>
        </w:tc>
        <w:tc>
          <w:tcPr>
            <w:tcW w:type="dxa" w:w="1944"/>
          </w:tcPr>
          <w:p>
            <w:pPr>
              <w:spacing w:after="20"/>
            </w:pPr>
            <w:r/>
            <w:r>
              <w:rPr>
                <w:sz w:val="19"/>
              </w:rPr>
              <w:t>Other</w:t>
            </w:r>
          </w:p>
        </w:tc>
        <w:tc>
          <w:tcPr>
            <w:tcW w:type="dxa" w:w="5328"/>
          </w:tcPr>
          <w:p>
            <w:pPr>
              <w:spacing w:after="20"/>
            </w:pPr>
            <w:r/>
            <w:r>
              <w:rPr>
                <w:sz w:val="19"/>
              </w:rPr>
              <w:t>Copy result to clipboard, example inputs per task, error messages shown in the UI, keyboard shortcut (Ctrl/Cmd + Enter) to submit.</w:t>
            </w:r>
          </w:p>
        </w:tc>
        <w:tc>
          <w:tcPr>
            <w:tcW w:type="dxa" w:w="1728"/>
          </w:tcPr>
          <w:p>
            <w:pPr>
              <w:spacing w:after="20"/>
              <w:jc w:val="center"/>
            </w:pPr>
            <w:r/>
            <w:r>
              <w:rPr>
                <w:sz w:val="19"/>
              </w:rPr>
              <w:t>Low</w:t>
            </w:r>
          </w:p>
        </w:tc>
      </w:tr>
    </w:tbl>
    <w:p>
      <w:pPr>
        <w:spacing w:after="0"/>
      </w:pPr>
    </w:p>
    <w:p>
      <w:pPr>
        <w:keepNext/>
        <w:spacing w:before="200" w:after="80"/>
      </w:pPr>
      <w:r>
        <w:rPr>
          <w:b/>
          <w:sz w:val="24"/>
        </w:rPr>
        <w:t>Step 2: Non-Functional Requirements (NFR)</w:t>
      </w:r>
    </w:p>
    <w:tbl>
      <w:tblPr>
        <w:tblStyle w:val="TableGrid"/>
        <w:tblW w:type="dxa" w:w="9647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648"/>
        <w:gridCol w:w="1944"/>
        <w:gridCol w:w="4320"/>
        <w:gridCol w:w="2736"/>
      </w:tblGrid>
      <w:tr>
        <w:trPr>
          <w:tblHeader w:val="true"/>
          <w:cantSplit w:val="true"/>
        </w:trPr>
        <w:tc>
          <w:tcPr>
            <w:tcW w:type="dxa" w:w="648"/>
            <w:shd w:val="clear" w:color="auto" w:fill="D9E2F3"/>
          </w:tcPr>
          <w:p>
            <w:r/>
            <w:r>
              <w:rPr>
                <w:b/>
                <w:sz w:val="19"/>
              </w:rPr>
              <w:t>S.No</w:t>
            </w:r>
          </w:p>
        </w:tc>
        <w:tc>
          <w:tcPr>
            <w:tcW w:type="dxa" w:w="1944"/>
            <w:shd w:val="clear" w:color="auto" w:fill="D9E2F3"/>
          </w:tcPr>
          <w:p>
            <w:r/>
            <w:r>
              <w:rPr>
                <w:b/>
                <w:sz w:val="19"/>
              </w:rPr>
              <w:t>NFR Category</w:t>
            </w:r>
          </w:p>
        </w:tc>
        <w:tc>
          <w:tcPr>
            <w:tcW w:type="dxa" w:w="4320"/>
            <w:shd w:val="clear" w:color="auto" w:fill="D9E2F3"/>
          </w:tcPr>
          <w:p>
            <w:r/>
            <w:r>
              <w:rPr>
                <w:b/>
                <w:sz w:val="19"/>
              </w:rPr>
              <w:t>Requirement Description</w:t>
            </w:r>
          </w:p>
        </w:tc>
        <w:tc>
          <w:tcPr>
            <w:tcW w:type="dxa" w:w="2736"/>
            <w:shd w:val="clear" w:color="auto" w:fill="D9E2F3"/>
          </w:tcPr>
          <w:p>
            <w:r/>
            <w:r>
              <w:rPr>
                <w:b/>
                <w:sz w:val="19"/>
              </w:rPr>
              <w:t>Target Metric / Acceptance Criteria</w:t>
            </w:r>
          </w:p>
        </w:tc>
      </w:tr>
      <w:tr>
        <w:trPr>
          <w:cantSplit w:val="true"/>
        </w:trPr>
        <w:tc>
          <w:tcPr>
            <w:tcW w:type="dxa" w:w="648"/>
          </w:tcPr>
          <w:p>
            <w:pPr>
              <w:spacing w:after="20"/>
              <w:jc w:val="center"/>
            </w:pPr>
            <w:r/>
            <w:r>
              <w:rPr>
                <w:sz w:val="19"/>
              </w:rPr>
              <w:t>1</w:t>
            </w:r>
          </w:p>
        </w:tc>
        <w:tc>
          <w:tcPr>
            <w:tcW w:type="dxa" w:w="1944"/>
          </w:tcPr>
          <w:p>
            <w:pPr>
              <w:spacing w:after="20"/>
            </w:pPr>
            <w:r/>
            <w:r>
              <w:rPr>
                <w:sz w:val="19"/>
              </w:rPr>
              <w:t>Performance &amp; Speed</w:t>
            </w:r>
          </w:p>
        </w:tc>
        <w:tc>
          <w:tcPr>
            <w:tcW w:type="dxa" w:w="4320"/>
          </w:tcPr>
          <w:p>
            <w:pPr>
              <w:spacing w:after="20"/>
            </w:pPr>
            <w:r/>
            <w:r>
              <w:rPr>
                <w:sz w:val="19"/>
              </w:rPr>
              <w:t>Pages and non-AI endpoints respond quickly; AI responses depend on Gemini latency. Blocking AI calls run in a thread pool so the server stays responsive.</w:t>
            </w:r>
          </w:p>
        </w:tc>
        <w:tc>
          <w:tcPr>
            <w:tcW w:type="dxa" w:w="2736"/>
          </w:tcPr>
          <w:p>
            <w:pPr>
              <w:spacing w:after="20"/>
            </w:pPr>
            <w:r/>
            <w:r>
              <w:rPr>
                <w:sz w:val="19"/>
              </w:rPr>
              <w:t>Page load &lt; 2 s; server overhead &lt; 100 ms; AI answer typically &lt; 10 s</w:t>
            </w:r>
          </w:p>
        </w:tc>
      </w:tr>
      <w:tr>
        <w:trPr>
          <w:cantSplit w:val="true"/>
        </w:trPr>
        <w:tc>
          <w:tcPr>
            <w:tcW w:type="dxa" w:w="648"/>
          </w:tcPr>
          <w:p>
            <w:pPr>
              <w:spacing w:after="20"/>
              <w:jc w:val="center"/>
            </w:pPr>
            <w:r/>
            <w:r>
              <w:rPr>
                <w:sz w:val="19"/>
              </w:rPr>
              <w:t>2</w:t>
            </w:r>
          </w:p>
        </w:tc>
        <w:tc>
          <w:tcPr>
            <w:tcW w:type="dxa" w:w="1944"/>
          </w:tcPr>
          <w:p>
            <w:pPr>
              <w:spacing w:after="20"/>
            </w:pPr>
            <w:r/>
            <w:r>
              <w:rPr>
                <w:sz w:val="19"/>
              </w:rPr>
              <w:t>Scalability</w:t>
            </w:r>
          </w:p>
        </w:tc>
        <w:tc>
          <w:tcPr>
            <w:tcW w:type="dxa" w:w="4320"/>
          </w:tcPr>
          <w:p>
            <w:pPr>
              <w:spacing w:after="20"/>
            </w:pPr>
            <w:r/>
            <w:r>
              <w:rPr>
                <w:sz w:val="19"/>
              </w:rPr>
              <w:t>Stateless FastAPI app - can run multiple Uvicorn workers or containers behind a load balancer.</w:t>
            </w:r>
          </w:p>
        </w:tc>
        <w:tc>
          <w:tcPr>
            <w:tcW w:type="dxa" w:w="2736"/>
          </w:tcPr>
          <w:p>
            <w:pPr>
              <w:spacing w:after="20"/>
            </w:pPr>
            <w:r/>
            <w:r>
              <w:rPr>
                <w:sz w:val="19"/>
              </w:rPr>
              <w:t>Handles 50 concurrent users with 0% errors (load test)</w:t>
            </w:r>
          </w:p>
        </w:tc>
      </w:tr>
      <w:tr>
        <w:trPr>
          <w:cantSplit w:val="true"/>
        </w:trPr>
        <w:tc>
          <w:tcPr>
            <w:tcW w:type="dxa" w:w="648"/>
          </w:tcPr>
          <w:p>
            <w:pPr>
              <w:spacing w:after="20"/>
              <w:jc w:val="center"/>
            </w:pPr>
            <w:r/>
            <w:r>
              <w:rPr>
                <w:sz w:val="19"/>
              </w:rPr>
              <w:t>3</w:t>
            </w:r>
          </w:p>
        </w:tc>
        <w:tc>
          <w:tcPr>
            <w:tcW w:type="dxa" w:w="1944"/>
          </w:tcPr>
          <w:p>
            <w:pPr>
              <w:spacing w:after="20"/>
            </w:pPr>
            <w:r/>
            <w:r>
              <w:rPr>
                <w:sz w:val="19"/>
              </w:rPr>
              <w:t>Security &amp; Data Privacy</w:t>
            </w:r>
          </w:p>
        </w:tc>
        <w:tc>
          <w:tcPr>
            <w:tcW w:type="dxa" w:w="4320"/>
          </w:tcPr>
          <w:p>
            <w:pPr>
              <w:spacing w:after="20"/>
            </w:pPr>
            <w:r/>
            <w:r>
              <w:rPr>
                <w:sz w:val="19"/>
              </w:rPr>
              <w:t>API key only on the server (.env, git-ignored); HTML output escaped in the browser to prevent XSS; input length limits; no user data stored.</w:t>
            </w:r>
          </w:p>
        </w:tc>
        <w:tc>
          <w:tcPr>
            <w:tcW w:type="dxa" w:w="2736"/>
          </w:tcPr>
          <w:p>
            <w:pPr>
              <w:spacing w:after="20"/>
            </w:pPr>
            <w:r/>
            <w:r>
              <w:rPr>
                <w:sz w:val="19"/>
              </w:rPr>
              <w:t>0 secrets in repository; all AI text rendered escaped</w:t>
            </w:r>
          </w:p>
        </w:tc>
      </w:tr>
      <w:tr>
        <w:trPr>
          <w:cantSplit w:val="true"/>
        </w:trPr>
        <w:tc>
          <w:tcPr>
            <w:tcW w:type="dxa" w:w="648"/>
          </w:tcPr>
          <w:p>
            <w:pPr>
              <w:spacing w:after="20"/>
              <w:jc w:val="center"/>
            </w:pPr>
            <w:r/>
            <w:r>
              <w:rPr>
                <w:sz w:val="19"/>
              </w:rPr>
              <w:t>4</w:t>
            </w:r>
          </w:p>
        </w:tc>
        <w:tc>
          <w:tcPr>
            <w:tcW w:type="dxa" w:w="1944"/>
          </w:tcPr>
          <w:p>
            <w:pPr>
              <w:spacing w:after="20"/>
            </w:pPr>
            <w:r/>
            <w:r>
              <w:rPr>
                <w:sz w:val="19"/>
              </w:rPr>
              <w:t>Reliability &amp; Availability</w:t>
            </w:r>
          </w:p>
        </w:tc>
        <w:tc>
          <w:tcPr>
            <w:tcW w:type="dxa" w:w="4320"/>
          </w:tcPr>
          <w:p>
            <w:pPr>
              <w:spacing w:after="20"/>
            </w:pPr>
            <w:r/>
            <w:r>
              <w:rPr>
                <w:sz w:val="19"/>
              </w:rPr>
              <w:t>Graceful error handling: missing key -&gt; 503, Gemini failure / invalid quiz -&gt; 502 with a clear message; local model falls back to Gemini.</w:t>
            </w:r>
          </w:p>
        </w:tc>
        <w:tc>
          <w:tcPr>
            <w:tcW w:type="dxa" w:w="2736"/>
          </w:tcPr>
          <w:p>
            <w:pPr>
              <w:spacing w:after="20"/>
            </w:pPr>
            <w:r/>
            <w:r>
              <w:rPr>
                <w:sz w:val="19"/>
              </w:rPr>
              <w:t>No unhandled exceptions; 31 automated tests pass</w:t>
            </w:r>
          </w:p>
        </w:tc>
      </w:tr>
      <w:tr>
        <w:trPr>
          <w:cantSplit w:val="true"/>
        </w:trPr>
        <w:tc>
          <w:tcPr>
            <w:tcW w:type="dxa" w:w="648"/>
          </w:tcPr>
          <w:p>
            <w:pPr>
              <w:spacing w:after="20"/>
              <w:jc w:val="center"/>
            </w:pPr>
            <w:r/>
            <w:r>
              <w:rPr>
                <w:sz w:val="19"/>
              </w:rPr>
              <w:t>5</w:t>
            </w:r>
          </w:p>
        </w:tc>
        <w:tc>
          <w:tcPr>
            <w:tcW w:type="dxa" w:w="1944"/>
          </w:tcPr>
          <w:p>
            <w:pPr>
              <w:spacing w:after="20"/>
            </w:pPr>
            <w:r/>
            <w:r>
              <w:rPr>
                <w:sz w:val="19"/>
              </w:rPr>
              <w:t>Usability &amp; Accessibility</w:t>
            </w:r>
          </w:p>
        </w:tc>
        <w:tc>
          <w:tcPr>
            <w:tcW w:type="dxa" w:w="4320"/>
          </w:tcPr>
          <w:p>
            <w:pPr>
              <w:spacing w:after="20"/>
            </w:pPr>
            <w:r/>
            <w:r>
              <w:rPr>
                <w:sz w:val="19"/>
              </w:rPr>
              <w:t>Simple single-page UI, responsive (mobile to desktop), dark mode, labels for all inputs, aria-live result area, keyboard support.</w:t>
            </w:r>
          </w:p>
        </w:tc>
        <w:tc>
          <w:tcPr>
            <w:tcW w:type="dxa" w:w="2736"/>
          </w:tcPr>
          <w:p>
            <w:pPr>
              <w:spacing w:after="20"/>
            </w:pPr>
            <w:r/>
            <w:r>
              <w:rPr>
                <w:sz w:val="19"/>
              </w:rPr>
              <w:t>Usable at 360 px width; WCAG 2.1 AA colour contrast</w:t>
            </w:r>
          </w:p>
        </w:tc>
      </w:tr>
      <w:tr>
        <w:trPr>
          <w:cantSplit w:val="true"/>
        </w:trPr>
        <w:tc>
          <w:tcPr>
            <w:tcW w:type="dxa" w:w="648"/>
          </w:tcPr>
          <w:p>
            <w:pPr>
              <w:spacing w:after="20"/>
              <w:jc w:val="center"/>
            </w:pPr>
            <w:r/>
            <w:r>
              <w:rPr>
                <w:sz w:val="19"/>
              </w:rPr>
              <w:t>6</w:t>
            </w:r>
          </w:p>
        </w:tc>
        <w:tc>
          <w:tcPr>
            <w:tcW w:type="dxa" w:w="1944"/>
          </w:tcPr>
          <w:p>
            <w:pPr>
              <w:spacing w:after="20"/>
            </w:pPr>
            <w:r/>
            <w:r>
              <w:rPr>
                <w:sz w:val="19"/>
              </w:rPr>
              <w:t>Other (Maintainability, Portability)</w:t>
            </w:r>
          </w:p>
        </w:tc>
        <w:tc>
          <w:tcPr>
            <w:tcW w:type="dxa" w:w="4320"/>
          </w:tcPr>
          <w:p>
            <w:pPr>
              <w:spacing w:after="20"/>
            </w:pPr>
            <w:r/>
            <w:r>
              <w:rPr>
                <w:sz w:val="19"/>
              </w:rPr>
              <w:t>Modular code (one module per feature), configuration via environment variables, runs on Windows / macOS / Linux with Python 3.10+.</w:t>
            </w:r>
          </w:p>
        </w:tc>
        <w:tc>
          <w:tcPr>
            <w:tcW w:type="dxa" w:w="2736"/>
          </w:tcPr>
          <w:p>
            <w:pPr>
              <w:spacing w:after="20"/>
            </w:pPr>
            <w:r/>
            <w:r>
              <w:rPr>
                <w:sz w:val="19"/>
              </w:rPr>
              <w:t>Setup in &lt; 10 minutes following README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pgSz w:w="12240" w:h="15840"/>
      <w:pgMar w:top="1296" w:right="1296" w:bottom="1152" w:left="1296" w:header="504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dxa" w:w="9648"/>
      <w:jc w:val="center"/>
      <w:tblLayout w:type="fixed"/>
      <w:tblLook w:firstColumn="1" w:firstRow="1" w:lastColumn="0" w:lastRow="0" w:noHBand="0" w:noVBand="1" w:val="04A0"/>
      <w:tblLayout w:type="fixed"/>
    </w:tblPr>
    <w:tblGrid>
      <w:gridCol w:w="4824"/>
      <w:gridCol w:w="4824"/>
    </w:tblGrid>
    <w:tr>
      <w:tc>
        <w:tcPr>
          <w:tcW w:type="dxa" w:w="4824"/>
        </w:tcPr>
        <w:p>
          <w:r>
            <w:drawing>
              <wp:inline xmlns:a="http://schemas.openxmlformats.org/drawingml/2006/main" xmlns:pic="http://schemas.openxmlformats.org/drawingml/2006/picture">
                <wp:extent cx="1600200" cy="670396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0_X4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600200" cy="670396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824"/>
        </w:tcPr>
        <w:p>
          <w:pPr>
            <w:jc w:val="right"/>
          </w:pPr>
          <w:r>
            <w:drawing>
              <wp:inline xmlns:a="http://schemas.openxmlformats.org/drawingml/2006/main" xmlns:pic="http://schemas.openxmlformats.org/drawingml/2006/picture">
                <wp:extent cx="1051560" cy="485652"/>
                <wp:docPr id="2" name="Picture 2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1_X7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51560" cy="485652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69" w:lineRule="auto"/>
    </w:pPr>
    <w:rPr>
      <w:rFonts w:ascii="Times New Roman" w:hAnsi="Times New Roman" w:eastAsia="Times New Roman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Solution Requirements - EduGenie: Google Gemini Powered Learning Assistant</dc:title>
  <dc:subject/>
  <dc:creator>Arumparithi B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