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Code-Layout, Readability and Reusability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6768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03 October 2026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SWTID-2026-7859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67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5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Code-Layout, Readability and Reusability:</w:t>
      </w:r>
    </w:p>
    <w:p>
      <w:pPr>
        <w:keepNext w:val="0"/>
        <w:jc w:val="both"/>
      </w:pPr>
      <w:r>
        <w:rPr>
          <w:i w:val="0"/>
        </w:rPr>
        <w:t>This document evaluates the quality of the EduGenie codebase in terms of its structure, readability and reusability.</w:t>
      </w:r>
    </w:p>
    <w:p>
      <w:pPr>
        <w:keepNext/>
        <w:spacing w:before="200" w:after="80"/>
      </w:pPr>
      <w:r>
        <w:rPr>
          <w:b/>
          <w:sz w:val="22"/>
        </w:rPr>
        <w:t>Code Layout Checklist: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944"/>
        <w:gridCol w:w="2520"/>
        <w:gridCol w:w="1368"/>
        <w:gridCol w:w="3168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944"/>
            <w:shd w:val="clear" w:color="auto" w:fill="D9E2F3"/>
          </w:tcPr>
          <w:p>
            <w:r/>
            <w:r>
              <w:rPr>
                <w:b/>
                <w:sz w:val="19"/>
              </w:rPr>
              <w:t>Code Quality Parameter</w:t>
            </w:r>
          </w:p>
        </w:tc>
        <w:tc>
          <w:tcPr>
            <w:tcW w:type="dxa" w:w="2520"/>
            <w:shd w:val="clear" w:color="auto" w:fill="D9E2F3"/>
          </w:tcPr>
          <w:p>
            <w:r/>
            <w:r>
              <w:rPr>
                <w:b/>
                <w:sz w:val="19"/>
              </w:rPr>
              <w:t>Description</w:t>
            </w:r>
          </w:p>
        </w:tc>
        <w:tc>
          <w:tcPr>
            <w:tcW w:type="dxa" w:w="1368"/>
            <w:shd w:val="clear" w:color="auto" w:fill="D9E2F3"/>
          </w:tcPr>
          <w:p>
            <w:r/>
            <w:r>
              <w:rPr>
                <w:b/>
                <w:sz w:val="19"/>
              </w:rPr>
              <w:t>Followed (Yes / No / Partial)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9"/>
              </w:rPr>
              <w:t>Remarks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Consistent Indentation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Uniform spacing/tabs used throughout the code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4-space indentation (PEP 8) in Python; 4 spaces in HTML/CSS/JS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Proper File Structure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Files and folders are logically organized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One module per feature; templates/, static/, tests/ folders; config in .env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Meaningful Variable Names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Variables reflect their purpose clearly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e.g. num_questions, explain_backend, MAX_TEXT_CHARS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Function / Method Names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Functions are descriptively named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answer_question_with_gemini, generate_quiz, clean_json_block, get_learning_recommendations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Code Comments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Inline and block comments explain logic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Module docstrings, function docstrings and comments for non-obvious logic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Modular Design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Code is split into reusable functions/modules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Shared gemini_client.generate() used by all features; prompts defined as constants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No Redundant Code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Duplicate or unused code is removed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Common validation and error helpers in main.py; pyflakes reports no issues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sz w:val="19"/>
              </w:rPr>
              <w:t>Error Handling</w:t>
            </w:r>
          </w:p>
        </w:tc>
        <w:tc>
          <w:tcPr>
            <w:tcW w:type="dxa" w:w="2520"/>
          </w:tcPr>
          <w:p>
            <w:pPr>
              <w:spacing w:after="20"/>
            </w:pPr>
            <w:r/>
            <w:r>
              <w:rPr>
                <w:sz w:val="19"/>
              </w:rPr>
              <w:t>Exceptions and errors are handled gracefully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Custom GeminiError hierarchy mapped to HTTP 400/502/503; local model falls back to Gemini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Reusable Components / Modules: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880"/>
        <w:gridCol w:w="2015"/>
        <w:gridCol w:w="2736"/>
        <w:gridCol w:w="1368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9"/>
              </w:rPr>
              <w:t>Component / Module Name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9"/>
              </w:rPr>
              <w:t>Language / Technology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9"/>
              </w:rPr>
              <w:t>Where Reused</w:t>
            </w:r>
          </w:p>
        </w:tc>
        <w:tc>
          <w:tcPr>
            <w:tcW w:type="dxa" w:w="1368"/>
            <w:shd w:val="clear" w:color="auto" w:fill="D9E2F3"/>
          </w:tcPr>
          <w:p>
            <w:r/>
            <w:r>
              <w:rPr>
                <w:b/>
                <w:sz w:val="19"/>
              </w:rPr>
              <w:t>Reusability Level (High / Medium / Low)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gemini_client.py (generate(), GeminiError)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Python, google-genai SDK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Q&amp;A, explanation, quiz, summary, learning-path modules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quiz_module.clean_json_block() / parse_quiz()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Python (json, re)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Quiz generation; reusable for any LLM JSON output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validate_input() / ai_error() helpers (main.py)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Python, FastAPI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All five API endpoints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renderMarkdown() / callApi() (script.js)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JavaScript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Rendering every AI result and every API call in the UI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tests/conftest.py fake_gemini fixture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Python, pytest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9"/>
              </w:rPr>
              <w:t>All API and module tests (no real API calls needed)</w:t>
            </w:r>
          </w:p>
        </w:tc>
        <w:tc>
          <w:tcPr>
            <w:tcW w:type="dxa" w:w="1368"/>
          </w:tcPr>
          <w:p>
            <w:pPr>
              <w:spacing w:after="20"/>
              <w:jc w:val="center"/>
            </w:pPr>
            <w:r/>
            <w:r>
              <w:rPr>
                <w:sz w:val="19"/>
              </w:rPr>
              <w:t>Medium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2"/>
        </w:rPr>
        <w:t>Overall Code Quality Assessment: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1440"/>
        <w:gridCol w:w="5328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Aspect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20"/>
              </w:rPr>
              <w:t>Rating (1-5)</w:t>
            </w:r>
          </w:p>
        </w:tc>
        <w:tc>
          <w:tcPr>
            <w:tcW w:type="dxa" w:w="5328"/>
            <w:shd w:val="clear" w:color="auto" w:fill="D9E2F3"/>
          </w:tcPr>
          <w:p>
            <w:r/>
            <w:r>
              <w:rPr>
                <w:b/>
                <w:sz w:val="20"/>
              </w:rPr>
              <w:t>Comments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Code Layout &amp; Structure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Clear separation of frontend, API layer, feature modules and AI gateway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Readability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Descriptive names, type hints, short functions, docstrings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Reusability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Shared Gemini client and helpers; prompts could later move to a config file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Documentation / Comments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README with setup/run/test steps, module docstrings, .env.example, API docs at /docs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Overall Score</w:t>
            </w:r>
          </w:p>
        </w:tc>
        <w:tc>
          <w:tcPr>
            <w:tcW w:type="dxa" w:w="1440"/>
          </w:tcPr>
          <w:p>
            <w:pPr>
              <w:spacing w:after="20"/>
              <w:jc w:val="center"/>
            </w:pPr>
            <w:r/>
            <w:r>
              <w:rPr>
                <w:sz w:val="20"/>
              </w:rPr>
              <w:t>4.75 / 5</w:t>
            </w:r>
          </w:p>
        </w:tc>
        <w:tc>
          <w:tcPr>
            <w:tcW w:type="dxa" w:w="5328"/>
          </w:tcPr>
          <w:p>
            <w:pPr>
              <w:spacing w:after="20"/>
            </w:pPr>
            <w:r/>
            <w:r>
              <w:rPr>
                <w:sz w:val="20"/>
              </w:rPr>
              <w:t>Clean, modular and tested (40 automated tests passing)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4824"/>
      <w:gridCol w:w="4824"/>
    </w:tblGrid>
    <w:tr>
      <w:tc>
        <w:tcPr>
          <w:tcW w:type="dxa" w:w="48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 - EduGenie: Google Gemini Powered Learning Assistant</dc:title>
  <dc:subject/>
  <dc:creator>Arumparithi B, Atchayabharath K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