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Performance Testing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Performance Testing</w:t>
      </w:r>
    </w:p>
    <w:p>
      <w:pPr>
        <w:keepNext w:val="0"/>
        <w:jc w:val="both"/>
      </w:pPr>
      <w:r>
        <w:rPr>
          <w:i w:val="0"/>
        </w:rPr>
        <w:t>Performance testing evaluates how EduGenie behaves under expected and peak load. Tests were run with the project's own asynchronous load-test script (EduGenie/tests/load_test.py).</w:t>
      </w:r>
    </w:p>
    <w:p>
      <w:pPr>
        <w:keepNext/>
        <w:spacing w:before="200" w:after="80"/>
      </w:pPr>
      <w:r>
        <w:rPr>
          <w:b/>
          <w:sz w:val="22"/>
        </w:rPr>
        <w:t>Step 1: Testing Overview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7056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21"/>
              </w:rPr>
              <w:t>Field</w:t>
            </w:r>
          </w:p>
        </w:tc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21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Testing Tool Used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Custom Python load tester (tests/load_test.py, asyncio + httpx); pytest for functional tests; psutil for CPU/memory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Type of Testing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Load testing (10 concurrent users) and stress testing (50 concurrent users)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Target Module / API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GET /, GET /health, GET /qa, POST /explain, POST /quiz, POST /summarize, GET /learn/recommendations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Test Environment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Local - Uvicorn (1 worker) on a 4-core / 15.7 GB Linux machine. The Gemini call was replaced by an instant stub to measure EduGenie's own server overhead (end-to-end AI latency depends on Google's API and the key's quota).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Test Date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21"/>
              </w:rPr>
              <w:t>01 October 2026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2: Test Scenarios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4176"/>
        <w:gridCol w:w="1440"/>
        <w:gridCol w:w="1296"/>
        <w:gridCol w:w="208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4176"/>
            <w:shd w:val="clear" w:color="auto" w:fill="D9E2F3"/>
          </w:tcPr>
          <w:p>
            <w:r/>
            <w:r>
              <w:rPr>
                <w:b/>
                <w:sz w:val="19"/>
              </w:rPr>
              <w:t>Test Scenario / Description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9"/>
              </w:rPr>
              <w:t>No. of Virtual Users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9"/>
              </w:rPr>
              <w:t>Duration (sec)</w:t>
            </w:r>
          </w:p>
        </w:tc>
        <w:tc>
          <w:tcPr>
            <w:tcW w:type="dxa" w:w="2088"/>
            <w:shd w:val="clear" w:color="auto" w:fill="D9E2F3"/>
          </w:tcPr>
          <w:p>
            <w:r/>
            <w:r>
              <w:rPr>
                <w:b/>
                <w:sz w:val="19"/>
              </w:rPr>
              <w:t>Expected Outcome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Home page and health check load (GET /, GET /health)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 each</w:t>
            </w:r>
          </w:p>
        </w:tc>
        <w:tc>
          <w:tcPr>
            <w:tcW w:type="dxa" w:w="2088"/>
          </w:tcPr>
          <w:p>
            <w:pPr>
              <w:spacing w:after="20"/>
            </w:pPr>
            <w:r/>
            <w:r>
              <w:rPr>
                <w:sz w:val="19"/>
              </w:rPr>
              <w:t>Avg &lt; 2 s, 0% errors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All five AI endpoints under normal load (Q&amp;A, explain, quiz, summarize, learning path)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 each</w:t>
            </w:r>
          </w:p>
        </w:tc>
        <w:tc>
          <w:tcPr>
            <w:tcW w:type="dxa" w:w="2088"/>
          </w:tcPr>
          <w:p>
            <w:pPr>
              <w:spacing w:after="20"/>
            </w:pPr>
            <w:r/>
            <w:r>
              <w:rPr>
                <w:sz w:val="19"/>
              </w:rPr>
              <w:t>Avg &lt; 2 s (server overhead), 0% errors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Stress test on the most-used endpoints (Q&amp;A and quiz)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50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10 each</w:t>
            </w:r>
          </w:p>
        </w:tc>
        <w:tc>
          <w:tcPr>
            <w:tcW w:type="dxa" w:w="2088"/>
          </w:tcPr>
          <w:p>
            <w:pPr>
              <w:spacing w:after="20"/>
            </w:pPr>
            <w:r/>
            <w:r>
              <w:rPr>
                <w:sz w:val="19"/>
              </w:rPr>
              <w:t>No failures, max &lt; 5 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End-to-end test with the live Gemini API (python tests/load_test.py --users 5 --duration 30)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296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30</w:t>
            </w:r>
          </w:p>
        </w:tc>
        <w:tc>
          <w:tcPr>
            <w:tcW w:type="dxa" w:w="2088"/>
          </w:tcPr>
          <w:p>
            <w:pPr>
              <w:spacing w:after="20"/>
            </w:pPr>
            <w:r/>
            <w:r>
              <w:rPr>
                <w:sz w:val="19"/>
              </w:rPr>
              <w:t>AI responses within ~10 s; limited by the API key's rate limit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3: Performance Test Results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944"/>
        <w:gridCol w:w="1296"/>
        <w:gridCol w:w="2304"/>
        <w:gridCol w:w="1152"/>
        <w:gridCol w:w="2304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9"/>
              </w:rPr>
              <w:t>Target Value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Actual Value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Status (Pass / Fail)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Remarks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Response Time (Avg)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2 seconds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11-12 ms (10 users); 51-58 ms (50 users)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Server overhead only (Gemini stubbed)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Response Time (Max)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5 seconds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218 ms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Worst case across all scenarios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Throughput (Req/sec)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824-985 req/s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Single Uvicorn worker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Error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1%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0.0%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~77,000 requests, no failures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CPU Utilization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80%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14.5% peak (of 4 cores)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Measured with psutil during load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Memory Utilization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80%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54 MB (0.3% of RAM)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Pass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Lightweight - no local model loaded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End-to-end AI response (live Gemini)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&lt; 10 seconds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To be measured with a live API key (scenario 4)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4: Observations &amp; Analysis</w:t>
      </w:r>
    </w:p>
    <w:p>
      <w:pPr>
        <w:pStyle w:val="ListBullet"/>
        <w:spacing w:after="40"/>
      </w:pPr>
      <w:r>
        <w:t>EduGenie's own processing (routing, validation, prompt building, JSON parsing, response) adds only ~12 ms on average, so total response time is dominated by the Gemini API.</w:t>
      </w:r>
    </w:p>
    <w:p>
      <w:pPr>
        <w:pStyle w:val="ListBullet"/>
        <w:spacing w:after="40"/>
      </w:pPr>
      <w:r>
        <w:t>No errors occurred at 50 concurrent users; blocking Gemini calls run in FastAPI's thread pool, keeping the server responsive.</w:t>
      </w:r>
    </w:p>
    <w:p>
      <w:pPr>
        <w:pStyle w:val="ListBullet"/>
        <w:spacing w:after="40"/>
      </w:pPr>
      <w:r>
        <w:t>Memory use stays very low (~54 MB) because AI inference runs in Google Cloud; enabling the optional local LaMini-Flan-T5 model adds roughly 3 GB.</w:t>
      </w:r>
    </w:p>
    <w:p>
      <w:pPr>
        <w:pStyle w:val="ListBullet"/>
        <w:spacing w:after="40"/>
      </w:pPr>
      <w:r>
        <w:t>For production scale, run several Uvicorn workers or containers behind a load balancer; the stateless design makes horizontal scaling straightforward.</w:t>
      </w:r>
    </w:p>
    <w:p>
      <w:pPr>
        <w:pStyle w:val="ListBullet"/>
        <w:spacing w:after="40"/>
      </w:pPr>
      <w:r>
        <w:t>Gemini overload (HTTP 503 'high demand') and free-tier rate limits (HTTP 429) are the most likely bottleneck under real load; EduGenie retries automatically with exponential backoff, falls back to backup models and otherwise shows a clear message with a Try again button.</w:t>
      </w:r>
    </w:p>
    <w:p>
      <w:pPr>
        <w:keepNext/>
        <w:spacing w:before="200" w:after="80"/>
      </w:pPr>
      <w:r>
        <w:rPr>
          <w:b/>
          <w:sz w:val="22"/>
        </w:rPr>
        <w:t>Step 5: Screenshots /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2059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59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Load test output (tests/load_test.py) with server resource usage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5176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7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Functional test suite: 40 passed, 3 live tests skipped (require API key)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