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b/>
          <w:sz w:val="30"/>
        </w:rPr>
        <w:t>Scalability &amp; Future Plan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768"/>
      </w:tblGrid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03 October 2026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Team ID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SWTID-2026-7859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Project Name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EduGenie: Google Gemini Powered Learning Assistant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Maximum Marks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1 Mark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4"/>
        </w:rPr>
        <w:t>Scalability &amp; Future Plan:</w:t>
      </w:r>
    </w:p>
    <w:p>
      <w:pPr>
        <w:keepNext w:val="0"/>
        <w:jc w:val="both"/>
      </w:pPr>
      <w:r>
        <w:rPr>
          <w:i w:val="0"/>
        </w:rPr>
        <w:t>How EduGenie can scale to more users and features, and the roadmap beyond the current version.</w:t>
      </w:r>
    </w:p>
    <w:p>
      <w:pPr>
        <w:keepNext/>
        <w:spacing w:before="200" w:after="80"/>
      </w:pPr>
      <w:r>
        <w:rPr>
          <w:b/>
          <w:sz w:val="22"/>
        </w:rPr>
        <w:t>Current System Limitations: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3456"/>
        <w:gridCol w:w="3456"/>
        <w:gridCol w:w="2088"/>
      </w:tblGrid>
      <w:tr>
        <w:trPr>
          <w:tblHeader w:val="true"/>
          <w:cantSplit w:val="true"/>
        </w:trPr>
        <w:tc>
          <w:tcPr>
            <w:tcW w:type="dxa" w:w="648"/>
            <w:shd w:val="clear" w:color="auto" w:fill="D9E2F3"/>
          </w:tcPr>
          <w:p>
            <w:r/>
            <w:r>
              <w:rPr>
                <w:b/>
                <w:sz w:val="19"/>
              </w:rPr>
              <w:t>S.No</w:t>
            </w:r>
          </w:p>
        </w:tc>
        <w:tc>
          <w:tcPr>
            <w:tcW w:type="dxa" w:w="3456"/>
            <w:shd w:val="clear" w:color="auto" w:fill="D9E2F3"/>
          </w:tcPr>
          <w:p>
            <w:r/>
            <w:r>
              <w:rPr>
                <w:b/>
                <w:sz w:val="19"/>
              </w:rPr>
              <w:t>Limitation</w:t>
            </w:r>
          </w:p>
        </w:tc>
        <w:tc>
          <w:tcPr>
            <w:tcW w:type="dxa" w:w="3456"/>
            <w:shd w:val="clear" w:color="auto" w:fill="D9E2F3"/>
          </w:tcPr>
          <w:p>
            <w:r/>
            <w:r>
              <w:rPr>
                <w:b/>
                <w:sz w:val="19"/>
              </w:rPr>
              <w:t>Impact</w:t>
            </w:r>
          </w:p>
        </w:tc>
        <w:tc>
          <w:tcPr>
            <w:tcW w:type="dxa" w:w="2088"/>
            <w:shd w:val="clear" w:color="auto" w:fill="D9E2F3"/>
          </w:tcPr>
          <w:p>
            <w:r/>
            <w:r>
              <w:rPr>
                <w:b/>
                <w:sz w:val="19"/>
              </w:rPr>
              <w:t>Priority to Address (High / Medium / Low)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19"/>
              </w:rPr>
              <w:t>Depends on Gemini API availability and rate limits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19"/>
              </w:rPr>
              <w:t>Requests may fail or slow down under heavy use</w:t>
            </w:r>
          </w:p>
        </w:tc>
        <w:tc>
          <w:tcPr>
            <w:tcW w:type="dxa" w:w="208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19"/>
              </w:rPr>
              <w:t>No user accounts or saved history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19"/>
              </w:rPr>
              <w:t>Learners can't track progress over time</w:t>
            </w:r>
          </w:p>
        </w:tc>
        <w:tc>
          <w:tcPr>
            <w:tcW w:type="dxa" w:w="208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19"/>
              </w:rPr>
              <w:t>Runs locally (not hosted); English-only, text-only input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19"/>
              </w:rPr>
              <w:t>Limited reach; no voice/image/PDF input</w:t>
            </w:r>
          </w:p>
        </w:tc>
        <w:tc>
          <w:tcPr>
            <w:tcW w:type="dxa" w:w="208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Medium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2"/>
        </w:rPr>
        <w:t>Scalability Plan: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872"/>
        <w:gridCol w:w="3456"/>
        <w:gridCol w:w="3671"/>
      </w:tblGrid>
      <w:tr>
        <w:trPr>
          <w:tblHeader w:val="true"/>
          <w:cantSplit w:val="true"/>
        </w:trPr>
        <w:tc>
          <w:tcPr>
            <w:tcW w:type="dxa" w:w="648"/>
            <w:shd w:val="clear" w:color="auto" w:fill="D9E2F3"/>
          </w:tcPr>
          <w:p>
            <w:r/>
            <w:r>
              <w:rPr>
                <w:b/>
                <w:sz w:val="19"/>
              </w:rPr>
              <w:t>S.No</w:t>
            </w:r>
          </w:p>
        </w:tc>
        <w:tc>
          <w:tcPr>
            <w:tcW w:type="dxa" w:w="1872"/>
            <w:shd w:val="clear" w:color="auto" w:fill="D9E2F3"/>
          </w:tcPr>
          <w:p>
            <w:r/>
            <w:r>
              <w:rPr>
                <w:b/>
                <w:sz w:val="19"/>
              </w:rPr>
              <w:t>Scalability Aspect</w:t>
            </w:r>
          </w:p>
        </w:tc>
        <w:tc>
          <w:tcPr>
            <w:tcW w:type="dxa" w:w="3456"/>
            <w:shd w:val="clear" w:color="auto" w:fill="D9E2F3"/>
          </w:tcPr>
          <w:p>
            <w:r/>
            <w:r>
              <w:rPr>
                <w:b/>
                <w:sz w:val="19"/>
              </w:rPr>
              <w:t>Current State</w:t>
            </w:r>
          </w:p>
        </w:tc>
        <w:tc>
          <w:tcPr>
            <w:tcW w:type="dxa" w:w="3672"/>
            <w:shd w:val="clear" w:color="auto" w:fill="D9E2F3"/>
          </w:tcPr>
          <w:p>
            <w:r/>
            <w:r>
              <w:rPr>
                <w:b/>
                <w:sz w:val="19"/>
              </w:rPr>
              <w:t>Proposed Upgrade / Solution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1872"/>
          </w:tcPr>
          <w:p>
            <w:pPr>
              <w:spacing w:after="20"/>
            </w:pPr>
            <w:r/>
            <w:r>
              <w:rPr>
                <w:sz w:val="19"/>
              </w:rPr>
              <w:t>User Load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19"/>
              </w:rPr>
              <w:t>Single Uvicorn worker; 50 concurrent users with 0% errors (server overhead ~12-58 ms)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9"/>
              </w:rPr>
              <w:t>Containerize (Docker) and deploy to Google Cloud Run with auto-scaling and multiple workers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1872"/>
          </w:tcPr>
          <w:p>
            <w:pPr>
              <w:spacing w:after="20"/>
            </w:pPr>
            <w:r/>
            <w:r>
              <w:rPr>
                <w:sz w:val="19"/>
              </w:rPr>
              <w:t>Data Storage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19"/>
              </w:rPr>
              <w:t>Stateless - no database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9"/>
              </w:rPr>
              <w:t>Add Firestore / Cloud SQL for user profiles, quiz history and progress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1872"/>
          </w:tcPr>
          <w:p>
            <w:pPr>
              <w:spacing w:after="20"/>
            </w:pPr>
            <w:r/>
            <w:r>
              <w:rPr>
                <w:sz w:val="19"/>
              </w:rPr>
              <w:t>Performance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19"/>
              </w:rPr>
              <w:t>Every request calls Gemini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9"/>
              </w:rPr>
              <w:t>Cache frequent answers and learning paths, stream responses, use a paid Gemini tier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1872"/>
          </w:tcPr>
          <w:p>
            <w:pPr>
              <w:spacing w:after="20"/>
            </w:pPr>
            <w:r/>
            <w:r>
              <w:rPr>
                <w:sz w:val="19"/>
              </w:rPr>
              <w:t>Security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19"/>
              </w:rPr>
              <w:t>API key in .env; no authentication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9"/>
              </w:rPr>
              <w:t>Google Sign-In / OAuth, Secret Manager for keys, rate limiting per user, HTTPS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2"/>
        </w:rPr>
        <w:t>Future Roadmap: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52"/>
        <w:gridCol w:w="4176"/>
        <w:gridCol w:w="1584"/>
        <w:gridCol w:w="2736"/>
      </w:tblGrid>
      <w:tr>
        <w:trPr>
          <w:tblHeader w:val="true"/>
          <w:cantSplit w:val="true"/>
        </w:trPr>
        <w:tc>
          <w:tcPr>
            <w:tcW w:type="dxa" w:w="1152"/>
            <w:shd w:val="clear" w:color="auto" w:fill="D9E2F3"/>
          </w:tcPr>
          <w:p>
            <w:r/>
            <w:r>
              <w:rPr>
                <w:b/>
                <w:sz w:val="19"/>
              </w:rPr>
              <w:t>Phase</w:t>
            </w:r>
          </w:p>
        </w:tc>
        <w:tc>
          <w:tcPr>
            <w:tcW w:type="dxa" w:w="4176"/>
            <w:shd w:val="clear" w:color="auto" w:fill="D9E2F3"/>
          </w:tcPr>
          <w:p>
            <w:r/>
            <w:r>
              <w:rPr>
                <w:b/>
                <w:sz w:val="19"/>
              </w:rPr>
              <w:t>Planned Feature / Enhancement</w:t>
            </w:r>
          </w:p>
        </w:tc>
        <w:tc>
          <w:tcPr>
            <w:tcW w:type="dxa" w:w="1584"/>
            <w:shd w:val="clear" w:color="auto" w:fill="D9E2F3"/>
          </w:tcPr>
          <w:p>
            <w:r/>
            <w:r>
              <w:rPr>
                <w:b/>
                <w:sz w:val="19"/>
              </w:rPr>
              <w:t>Target Timeline</w:t>
            </w:r>
          </w:p>
        </w:tc>
        <w:tc>
          <w:tcPr>
            <w:tcW w:type="dxa" w:w="2736"/>
            <w:shd w:val="clear" w:color="auto" w:fill="D9E2F3"/>
          </w:tcPr>
          <w:p>
            <w:r/>
            <w:r>
              <w:rPr>
                <w:b/>
                <w:sz w:val="19"/>
              </w:rPr>
              <w:t>Expected Impact</w:t>
            </w:r>
          </w:p>
        </w:tc>
      </w:tr>
      <w:tr>
        <w:trPr>
          <w:cantSplit w:val="true"/>
        </w:trPr>
        <w:tc>
          <w:tcPr>
            <w:tcW w:type="dxa" w:w="1152"/>
          </w:tcPr>
          <w:p>
            <w:pPr>
              <w:spacing w:after="20"/>
            </w:pPr>
            <w:r/>
            <w:r>
              <w:rPr>
                <w:sz w:val="19"/>
              </w:rPr>
              <w:t>Phase 2</w:t>
            </w:r>
          </w:p>
        </w:tc>
        <w:tc>
          <w:tcPr>
            <w:tcW w:type="dxa" w:w="4176"/>
          </w:tcPr>
          <w:p>
            <w:pPr>
              <w:spacing w:after="20"/>
            </w:pPr>
            <w:r/>
            <w:r>
              <w:rPr>
                <w:sz w:val="19"/>
              </w:rPr>
              <w:t>Cloud deployment, user accounts, saved quiz history, progress dashboard</w:t>
            </w:r>
          </w:p>
        </w:tc>
        <w:tc>
          <w:tcPr>
            <w:tcW w:type="dxa" w:w="1584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  <w:tc>
          <w:tcPr>
            <w:tcW w:type="dxa" w:w="2736"/>
          </w:tcPr>
          <w:p>
            <w:pPr>
              <w:spacing w:after="20"/>
            </w:pPr>
            <w:r/>
            <w:r>
              <w:rPr>
                <w:sz w:val="19"/>
              </w:rPr>
              <w:t>Anytime access and visible learning progress</w:t>
            </w:r>
          </w:p>
        </w:tc>
      </w:tr>
      <w:tr>
        <w:trPr>
          <w:cantSplit w:val="true"/>
        </w:trPr>
        <w:tc>
          <w:tcPr>
            <w:tcW w:type="dxa" w:w="1152"/>
          </w:tcPr>
          <w:p>
            <w:pPr>
              <w:spacing w:after="20"/>
            </w:pPr>
            <w:r/>
            <w:r>
              <w:rPr>
                <w:sz w:val="19"/>
              </w:rPr>
              <w:t>Phase 3</w:t>
            </w:r>
          </w:p>
        </w:tc>
        <w:tc>
          <w:tcPr>
            <w:tcW w:type="dxa" w:w="4176"/>
          </w:tcPr>
          <w:p>
            <w:pPr>
              <w:spacing w:after="20"/>
            </w:pPr>
            <w:r/>
            <w:r>
              <w:rPr>
                <w:sz w:val="19"/>
              </w:rPr>
              <w:t>Voice interaction, multilingual support, image/PDF input for doubt solving</w:t>
            </w:r>
          </w:p>
        </w:tc>
        <w:tc>
          <w:tcPr>
            <w:tcW w:type="dxa" w:w="1584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  <w:tc>
          <w:tcPr>
            <w:tcW w:type="dxa" w:w="2736"/>
          </w:tcPr>
          <w:p>
            <w:pPr>
              <w:spacing w:after="20"/>
            </w:pPr>
            <w:r/>
            <w:r>
              <w:rPr>
                <w:sz w:val="19"/>
              </w:rPr>
              <w:t>Accessibility for more learners and languages</w:t>
            </w:r>
          </w:p>
        </w:tc>
      </w:tr>
      <w:tr>
        <w:trPr>
          <w:cantSplit w:val="true"/>
        </w:trPr>
        <w:tc>
          <w:tcPr>
            <w:tcW w:type="dxa" w:w="1152"/>
          </w:tcPr>
          <w:p>
            <w:pPr>
              <w:spacing w:after="20"/>
            </w:pPr>
            <w:r/>
            <w:r>
              <w:rPr>
                <w:sz w:val="19"/>
              </w:rPr>
              <w:t>Phase 4</w:t>
            </w:r>
          </w:p>
        </w:tc>
        <w:tc>
          <w:tcPr>
            <w:tcW w:type="dxa" w:w="4176"/>
          </w:tcPr>
          <w:p>
            <w:pPr>
              <w:spacing w:after="20"/>
            </w:pPr>
            <w:r/>
            <w:r>
              <w:rPr>
                <w:sz w:val="19"/>
              </w:rPr>
              <w:t>Mobile app, gamification (badges, streaks), teacher/parent dashboards, LMS integration (Moodle, Google Classroom)</w:t>
            </w:r>
          </w:p>
        </w:tc>
        <w:tc>
          <w:tcPr>
            <w:tcW w:type="dxa" w:w="1584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  <w:tc>
          <w:tcPr>
            <w:tcW w:type="dxa" w:w="2736"/>
          </w:tcPr>
          <w:p>
            <w:pPr>
              <w:spacing w:after="20"/>
            </w:pPr>
            <w:r/>
            <w:r>
              <w:rPr>
                <w:sz w:val="19"/>
              </w:rPr>
              <w:t>Higher engagement and adoption by institutions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pgSz w:w="12240" w:h="15840"/>
      <w:pgMar w:top="1296" w:right="1296" w:bottom="1152" w:left="1296" w:header="50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648"/>
      <w:jc w:val="center"/>
      <w:tblLayout w:type="fixed"/>
      <w:tblLook w:firstColumn="1" w:firstRow="1" w:lastColumn="0" w:lastRow="0" w:noHBand="0" w:noVBand="1" w:val="04A0"/>
      <w:tblLayout w:type="fixed"/>
    </w:tblPr>
    <w:tblGrid>
      <w:gridCol w:w="4824"/>
      <w:gridCol w:w="4824"/>
    </w:tblGrid>
    <w:tr>
      <w:tc>
        <w:tcPr>
          <w:tcW w:type="dxa" w:w="4824"/>
        </w:tcPr>
        <w:p>
          <w:r>
            <w:drawing>
              <wp:inline xmlns:a="http://schemas.openxmlformats.org/drawingml/2006/main" xmlns:pic="http://schemas.openxmlformats.org/drawingml/2006/picture">
                <wp:extent cx="1600200" cy="67039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0_X4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200" cy="67039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24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051560" cy="48565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1_X7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48565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Scalability &amp; Future Plan - EduGenie: Google Gemini Powered Learning Assistant</dc:title>
  <dc:subject/>
  <dc:creator>Arumparithi B, Atchayabharath K 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