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Code-Layout, Readability and Reusability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5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Code-Layout, Readability and Reusability:</w:t>
      </w:r>
    </w:p>
    <w:p>
      <w:pPr>
        <w:keepNext w:val="0"/>
        <w:jc w:val="both"/>
      </w:pPr>
      <w:r>
        <w:rPr>
          <w:i w:val="0"/>
        </w:rPr>
        <w:t>This document evaluates the quality of the EduGenie codebase in terms of its structure, readability and reusability.</w:t>
      </w:r>
    </w:p>
    <w:p>
      <w:pPr>
        <w:keepNext/>
        <w:spacing w:before="200" w:after="80"/>
      </w:pPr>
      <w:r>
        <w:rPr>
          <w:b/>
          <w:sz w:val="22"/>
        </w:rPr>
        <w:t>Code Layout Checklist: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944"/>
        <w:gridCol w:w="2520"/>
        <w:gridCol w:w="1368"/>
        <w:gridCol w:w="3168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944"/>
            <w:shd w:val="clear" w:color="auto" w:fill="D9E2F3"/>
          </w:tcPr>
          <w:p>
            <w:r/>
            <w:r>
              <w:rPr>
                <w:b/>
                <w:sz w:val="19"/>
              </w:rPr>
              <w:t>Code Quality Parameter</w:t>
            </w:r>
          </w:p>
        </w:tc>
        <w:tc>
          <w:tcPr>
            <w:tcW w:type="dxa" w:w="2520"/>
            <w:shd w:val="clear" w:color="auto" w:fill="D9E2F3"/>
          </w:tcPr>
          <w:p>
            <w:r/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368"/>
            <w:shd w:val="clear" w:color="auto" w:fill="D9E2F3"/>
          </w:tcPr>
          <w:p>
            <w:r/>
            <w:r>
              <w:rPr>
                <w:b/>
                <w:sz w:val="19"/>
              </w:rPr>
              <w:t>Followed (Yes / No / Partial)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9"/>
              </w:rPr>
              <w:t>Remarks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Consistent Indentation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Uniform spacing/tabs used throughout the code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4-space indentation (PEP 8) in Python; 4 spaces in HTML/CSS/JS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Proper File Structure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Files and folders are logically organized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One module per feature; templates/, static/, tests/ folders; config in .env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Meaningful Variable Names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Variables reflect their purpose clearly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e.g. num_questions, explain_backend, MAX_TEXT_CHARS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Function / Method Names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Functions are descriptively named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answer_question_with_gemini, generate_quiz, clean_json_block, get_learning_recommendations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Code Comments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Inline and block comments explain logic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Module docstrings, function docstrings and comments for non-obvious logic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Modular Design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Code is split into reusable functions/modules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Shared gemini_client.generate() used by all features; prompts defined as constants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No Redundant Code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Duplicate or unused code is removed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Common validation and error helpers in main.py; pyflakes reports no issues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Error Handling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Exceptions and errors are handled gracefully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Custom GeminiError hierarchy mapped to HTTP 400/502/503; local model falls back to Gemini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Reusable Components / Modules: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880"/>
        <w:gridCol w:w="2015"/>
        <w:gridCol w:w="2736"/>
        <w:gridCol w:w="1368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Component / Module Name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9"/>
              </w:rPr>
              <w:t>Language / Technology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9"/>
              </w:rPr>
              <w:t>Where Reused</w:t>
            </w:r>
          </w:p>
        </w:tc>
        <w:tc>
          <w:tcPr>
            <w:tcW w:type="dxa" w:w="1368"/>
            <w:shd w:val="clear" w:color="auto" w:fill="D9E2F3"/>
          </w:tcPr>
          <w:p>
            <w:r/>
            <w:r>
              <w:rPr>
                <w:b/>
                <w:sz w:val="19"/>
              </w:rPr>
              <w:t>Reusability Level (High / Medium / Low)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gemini_client.py (generate(), GeminiError)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Python, google-genai SDK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Q&amp;A, explanation, quiz, summary, learning-path modules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quiz_module.clean_json_block() / parse_quiz()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Python (json, re)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Quiz generation; reusable for any LLM JSON output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validate_input() / ai_error() helpers (main.py)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Python, FastAPI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All five API endpoints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renderMarkdown() / callApi() (script.js)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JavaScript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Rendering every AI result and every API call in the UI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tests/conftest.py fake_gemini fixture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Python, pytest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All API and module tests (no real API calls needed)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Medium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Overall Code Quality Assessment: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1440"/>
        <w:gridCol w:w="5328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Aspect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20"/>
              </w:rPr>
              <w:t>Rating (1-5)</w:t>
            </w:r>
          </w:p>
        </w:tc>
        <w:tc>
          <w:tcPr>
            <w:tcW w:type="dxa" w:w="5328"/>
            <w:shd w:val="clear" w:color="auto" w:fill="D9E2F3"/>
          </w:tcPr>
          <w:p>
            <w:r/>
            <w:r>
              <w:rPr>
                <w:b/>
                <w:sz w:val="20"/>
              </w:rPr>
              <w:t>Comments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Code Layout &amp; Structure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Clear separation of frontend, API layer, feature modules and AI gateway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Readability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Descriptive names, type hints, short functions, docstrings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Reusability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Shared Gemini client and helpers; prompts could later move to a config file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Documentation / Comments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README with setup/run/test steps, module docstrings, .env.example, API docs at /docs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Overall Score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4.75 / 5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Clean, modular and tested (40 automated tests passing)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