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b/>
          <w:sz w:val="30"/>
        </w:rPr>
        <w:t>Performance Testing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6768"/>
      </w:tblGrid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Team ID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xxxxxx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Project Name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EduGenie: Google Gemini Powered Learning Assistant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Maximum Marks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5 Marks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4"/>
        </w:rPr>
        <w:t>Performance Testing</w:t>
      </w:r>
    </w:p>
    <w:p>
      <w:pPr>
        <w:keepNext w:val="0"/>
        <w:jc w:val="both"/>
      </w:pPr>
      <w:r>
        <w:rPr>
          <w:i w:val="0"/>
        </w:rPr>
        <w:t>Performance testing evaluates how EduGenie behaves under expected and peak load. Tests were run with the project's own asynchronous load-test script (EduGenie/tests/load_test.py).</w:t>
      </w:r>
    </w:p>
    <w:p>
      <w:pPr>
        <w:keepNext/>
        <w:spacing w:before="200" w:after="80"/>
      </w:pPr>
      <w:r>
        <w:rPr>
          <w:b/>
          <w:sz w:val="22"/>
        </w:rPr>
        <w:t>Step 1: Testing Overview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92"/>
        <w:gridCol w:w="7056"/>
      </w:tblGrid>
      <w:tr>
        <w:trPr>
          <w:tblHeader w:val="true"/>
          <w:cantSplit w:val="true"/>
        </w:trPr>
        <w:tc>
          <w:tcPr>
            <w:tcW w:type="dxa" w:w="2592"/>
            <w:shd w:val="clear" w:color="auto" w:fill="D9E2F3"/>
          </w:tcPr>
          <w:p>
            <w:r/>
            <w:r>
              <w:rPr>
                <w:b/>
                <w:sz w:val="21"/>
              </w:rPr>
              <w:t>Field</w:t>
            </w:r>
          </w:p>
        </w:tc>
        <w:tc>
          <w:tcPr>
            <w:tcW w:type="dxa" w:w="7056"/>
            <w:shd w:val="clear" w:color="auto" w:fill="D9E2F3"/>
          </w:tcPr>
          <w:p>
            <w:r/>
            <w:r>
              <w:rPr>
                <w:b/>
                <w:sz w:val="21"/>
              </w:rPr>
              <w:t>Details</w:t>
            </w:r>
          </w:p>
        </w:tc>
      </w:tr>
      <w:tr>
        <w:trPr>
          <w:cantSplit w:val="true"/>
        </w:trPr>
        <w:tc>
          <w:tcPr>
            <w:tcW w:type="dxa" w:w="2592"/>
          </w:tcPr>
          <w:p>
            <w:pPr>
              <w:spacing w:after="20"/>
            </w:pPr>
            <w:r/>
            <w:r>
              <w:rPr>
                <w:b/>
                <w:sz w:val="21"/>
              </w:rPr>
              <w:t>Testing Tool Used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sz w:val="21"/>
              </w:rPr>
              <w:t>Custom Python load tester (tests/load_test.py, asyncio + httpx); pytest for functional tests; psutil for CPU/memory</w:t>
            </w:r>
          </w:p>
        </w:tc>
      </w:tr>
      <w:tr>
        <w:trPr>
          <w:cantSplit w:val="true"/>
        </w:trPr>
        <w:tc>
          <w:tcPr>
            <w:tcW w:type="dxa" w:w="2592"/>
          </w:tcPr>
          <w:p>
            <w:pPr>
              <w:spacing w:after="20"/>
            </w:pPr>
            <w:r/>
            <w:r>
              <w:rPr>
                <w:b/>
                <w:sz w:val="21"/>
              </w:rPr>
              <w:t>Type of Testing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sz w:val="21"/>
              </w:rPr>
              <w:t>Load testing (10 concurrent users) and stress testing (50 concurrent users)</w:t>
            </w:r>
          </w:p>
        </w:tc>
      </w:tr>
      <w:tr>
        <w:trPr>
          <w:cantSplit w:val="true"/>
        </w:trPr>
        <w:tc>
          <w:tcPr>
            <w:tcW w:type="dxa" w:w="2592"/>
          </w:tcPr>
          <w:p>
            <w:pPr>
              <w:spacing w:after="20"/>
            </w:pPr>
            <w:r/>
            <w:r>
              <w:rPr>
                <w:b/>
                <w:sz w:val="21"/>
              </w:rPr>
              <w:t>Target Module / API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sz w:val="21"/>
              </w:rPr>
              <w:t>GET /, GET /health, GET /qa, POST /explain, POST /quiz, POST /summarize, GET /learn/recommendations</w:t>
            </w:r>
          </w:p>
        </w:tc>
      </w:tr>
      <w:tr>
        <w:trPr>
          <w:cantSplit w:val="true"/>
        </w:trPr>
        <w:tc>
          <w:tcPr>
            <w:tcW w:type="dxa" w:w="2592"/>
          </w:tcPr>
          <w:p>
            <w:pPr>
              <w:spacing w:after="20"/>
            </w:pPr>
            <w:r/>
            <w:r>
              <w:rPr>
                <w:b/>
                <w:sz w:val="21"/>
              </w:rPr>
              <w:t>Test Environment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sz w:val="21"/>
              </w:rPr>
              <w:t>Local - Uvicorn (1 worker) on a 4-core / 15.7 GB Linux machine. The Gemini call was replaced by an instant stub to measure EduGenie's own server overhead (end-to-end AI latency depends on Google's API and the key's quota).</w:t>
            </w:r>
          </w:p>
        </w:tc>
      </w:tr>
      <w:tr>
        <w:trPr>
          <w:cantSplit w:val="true"/>
        </w:trPr>
        <w:tc>
          <w:tcPr>
            <w:tcW w:type="dxa" w:w="2592"/>
          </w:tcPr>
          <w:p>
            <w:pPr>
              <w:spacing w:after="20"/>
            </w:pPr>
            <w:r/>
            <w:r>
              <w:rPr>
                <w:b/>
                <w:sz w:val="21"/>
              </w:rPr>
              <w:t>Test Date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sz w:val="21"/>
              </w:rPr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2"/>
        </w:rPr>
        <w:t>Step 2: Test Scenarios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4176"/>
        <w:gridCol w:w="1440"/>
        <w:gridCol w:w="1296"/>
        <w:gridCol w:w="2088"/>
      </w:tblGrid>
      <w:tr>
        <w:trPr>
          <w:tblHeader w:val="true"/>
          <w:cantSplit w:val="true"/>
        </w:trPr>
        <w:tc>
          <w:tcPr>
            <w:tcW w:type="dxa" w:w="648"/>
            <w:shd w:val="clear" w:color="auto" w:fill="D9E2F3"/>
          </w:tcPr>
          <w:p>
            <w:r/>
            <w:r>
              <w:rPr>
                <w:b/>
                <w:sz w:val="19"/>
              </w:rPr>
              <w:t>S.No</w:t>
            </w:r>
          </w:p>
        </w:tc>
        <w:tc>
          <w:tcPr>
            <w:tcW w:type="dxa" w:w="4176"/>
            <w:shd w:val="clear" w:color="auto" w:fill="D9E2F3"/>
          </w:tcPr>
          <w:p>
            <w:r/>
            <w:r>
              <w:rPr>
                <w:b/>
                <w:sz w:val="19"/>
              </w:rPr>
              <w:t>Test Scenario / Description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19"/>
              </w:rPr>
              <w:t>No. of Virtual Users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sz w:val="19"/>
              </w:rPr>
              <w:t>Duration (sec)</w:t>
            </w:r>
          </w:p>
        </w:tc>
        <w:tc>
          <w:tcPr>
            <w:tcW w:type="dxa" w:w="2088"/>
            <w:shd w:val="clear" w:color="auto" w:fill="D9E2F3"/>
          </w:tcPr>
          <w:p>
            <w:r/>
            <w:r>
              <w:rPr>
                <w:b/>
                <w:sz w:val="19"/>
              </w:rPr>
              <w:t>Expected Outcome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4176"/>
          </w:tcPr>
          <w:p>
            <w:pPr>
              <w:spacing w:after="20"/>
            </w:pPr>
            <w:r/>
            <w:r>
              <w:rPr>
                <w:sz w:val="19"/>
              </w:rPr>
              <w:t>Home page and health check load (GET /, GET /health)</w:t>
            </w:r>
          </w:p>
        </w:tc>
        <w:tc>
          <w:tcPr>
            <w:tcW w:type="dxa" w:w="1440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10</w:t>
            </w:r>
          </w:p>
        </w:tc>
        <w:tc>
          <w:tcPr>
            <w:tcW w:type="dxa" w:w="1296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10 each</w:t>
            </w:r>
          </w:p>
        </w:tc>
        <w:tc>
          <w:tcPr>
            <w:tcW w:type="dxa" w:w="2088"/>
          </w:tcPr>
          <w:p>
            <w:pPr>
              <w:spacing w:after="20"/>
            </w:pPr>
            <w:r/>
            <w:r>
              <w:rPr>
                <w:sz w:val="19"/>
              </w:rPr>
              <w:t>Avg &lt; 2 s, 0% errors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4176"/>
          </w:tcPr>
          <w:p>
            <w:pPr>
              <w:spacing w:after="20"/>
            </w:pPr>
            <w:r/>
            <w:r>
              <w:rPr>
                <w:sz w:val="19"/>
              </w:rPr>
              <w:t>All five AI endpoints under normal load (Q&amp;A, explain, quiz, summarize, learning path)</w:t>
            </w:r>
          </w:p>
        </w:tc>
        <w:tc>
          <w:tcPr>
            <w:tcW w:type="dxa" w:w="1440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10</w:t>
            </w:r>
          </w:p>
        </w:tc>
        <w:tc>
          <w:tcPr>
            <w:tcW w:type="dxa" w:w="1296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10 each</w:t>
            </w:r>
          </w:p>
        </w:tc>
        <w:tc>
          <w:tcPr>
            <w:tcW w:type="dxa" w:w="2088"/>
          </w:tcPr>
          <w:p>
            <w:pPr>
              <w:spacing w:after="20"/>
            </w:pPr>
            <w:r/>
            <w:r>
              <w:rPr>
                <w:sz w:val="19"/>
              </w:rPr>
              <w:t>Avg &lt; 2 s (server overhead), 0% errors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4176"/>
          </w:tcPr>
          <w:p>
            <w:pPr>
              <w:spacing w:after="20"/>
            </w:pPr>
            <w:r/>
            <w:r>
              <w:rPr>
                <w:sz w:val="19"/>
              </w:rPr>
              <w:t>Stress test on the most-used endpoints (Q&amp;A and quiz)</w:t>
            </w:r>
          </w:p>
        </w:tc>
        <w:tc>
          <w:tcPr>
            <w:tcW w:type="dxa" w:w="1440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50</w:t>
            </w:r>
          </w:p>
        </w:tc>
        <w:tc>
          <w:tcPr>
            <w:tcW w:type="dxa" w:w="1296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10 each</w:t>
            </w:r>
          </w:p>
        </w:tc>
        <w:tc>
          <w:tcPr>
            <w:tcW w:type="dxa" w:w="2088"/>
          </w:tcPr>
          <w:p>
            <w:pPr>
              <w:spacing w:after="20"/>
            </w:pPr>
            <w:r/>
            <w:r>
              <w:rPr>
                <w:sz w:val="19"/>
              </w:rPr>
              <w:t>No failures, max &lt; 5 s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4176"/>
          </w:tcPr>
          <w:p>
            <w:pPr>
              <w:spacing w:after="20"/>
            </w:pPr>
            <w:r/>
            <w:r>
              <w:rPr>
                <w:sz w:val="19"/>
              </w:rPr>
              <w:t>End-to-end test with the live Gemini API (python tests/load_test.py --users 5 --duration 30)</w:t>
            </w:r>
          </w:p>
        </w:tc>
        <w:tc>
          <w:tcPr>
            <w:tcW w:type="dxa" w:w="1440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1296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30</w:t>
            </w:r>
          </w:p>
        </w:tc>
        <w:tc>
          <w:tcPr>
            <w:tcW w:type="dxa" w:w="2088"/>
          </w:tcPr>
          <w:p>
            <w:pPr>
              <w:spacing w:after="20"/>
            </w:pPr>
            <w:r/>
            <w:r>
              <w:rPr>
                <w:sz w:val="19"/>
              </w:rPr>
              <w:t>AI responses within ~10 s; limited by the API key's rate limit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2"/>
        </w:rPr>
        <w:t>Step 3: Performance Test Results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944"/>
        <w:gridCol w:w="1296"/>
        <w:gridCol w:w="2304"/>
        <w:gridCol w:w="1152"/>
        <w:gridCol w:w="2304"/>
      </w:tblGrid>
      <w:tr>
        <w:trPr>
          <w:tblHeader w:val="true"/>
          <w:cantSplit w:val="true"/>
        </w:trPr>
        <w:tc>
          <w:tcPr>
            <w:tcW w:type="dxa" w:w="648"/>
            <w:shd w:val="clear" w:color="auto" w:fill="D9E2F3"/>
          </w:tcPr>
          <w:p>
            <w:r/>
            <w:r>
              <w:rPr>
                <w:b/>
                <w:sz w:val="19"/>
              </w:rPr>
              <w:t>S.No</w:t>
            </w:r>
          </w:p>
        </w:tc>
        <w:tc>
          <w:tcPr>
            <w:tcW w:type="dxa" w:w="1944"/>
            <w:shd w:val="clear" w:color="auto" w:fill="D9E2F3"/>
          </w:tcPr>
          <w:p>
            <w:r/>
            <w:r>
              <w:rPr>
                <w:b/>
                <w:sz w:val="19"/>
              </w:rPr>
              <w:t>Metric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sz w:val="19"/>
              </w:rPr>
              <w:t>Target Value</w:t>
            </w:r>
          </w:p>
        </w:tc>
        <w:tc>
          <w:tcPr>
            <w:tcW w:type="dxa" w:w="2304"/>
            <w:shd w:val="clear" w:color="auto" w:fill="D9E2F3"/>
          </w:tcPr>
          <w:p>
            <w:r/>
            <w:r>
              <w:rPr>
                <w:b/>
                <w:sz w:val="19"/>
              </w:rPr>
              <w:t>Actual Value</w:t>
            </w:r>
          </w:p>
        </w:tc>
        <w:tc>
          <w:tcPr>
            <w:tcW w:type="dxa" w:w="1152"/>
            <w:shd w:val="clear" w:color="auto" w:fill="D9E2F3"/>
          </w:tcPr>
          <w:p>
            <w:r/>
            <w:r>
              <w:rPr>
                <w:b/>
                <w:sz w:val="19"/>
              </w:rPr>
              <w:t>Status (Pass / Fail)</w:t>
            </w:r>
          </w:p>
        </w:tc>
        <w:tc>
          <w:tcPr>
            <w:tcW w:type="dxa" w:w="2304"/>
            <w:shd w:val="clear" w:color="auto" w:fill="D9E2F3"/>
          </w:tcPr>
          <w:p>
            <w:r/>
            <w:r>
              <w:rPr>
                <w:b/>
                <w:sz w:val="19"/>
              </w:rPr>
              <w:t>Remarks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Response Time (Avg)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&lt; 2 seconds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11-12 ms (10 users); 51-58 ms (50 users)</w:t>
            </w:r>
          </w:p>
        </w:tc>
        <w:tc>
          <w:tcPr>
            <w:tcW w:type="dxa" w:w="1152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Pass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Server overhead only (Gemini stubbed)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Response Time (Max)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&lt; 5 seconds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218 ms</w:t>
            </w:r>
          </w:p>
        </w:tc>
        <w:tc>
          <w:tcPr>
            <w:tcW w:type="dxa" w:w="1152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Pass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Worst case across all scenarios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Throughput (Req/sec)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824-985 req/s</w:t>
            </w:r>
          </w:p>
        </w:tc>
        <w:tc>
          <w:tcPr>
            <w:tcW w:type="dxa" w:w="1152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Pass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Single Uvicorn worker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Error Rate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&lt; 1%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0.0%</w:t>
            </w:r>
          </w:p>
        </w:tc>
        <w:tc>
          <w:tcPr>
            <w:tcW w:type="dxa" w:w="1152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Pass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~77,000 requests, no failures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CPU Utilization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&lt; 80%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14.5% peak (of 4 cores)</w:t>
            </w:r>
          </w:p>
        </w:tc>
        <w:tc>
          <w:tcPr>
            <w:tcW w:type="dxa" w:w="1152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Pass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Measured with psutil during load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Memory Utilization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&lt; 80%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54 MB (0.3% of RAM)</w:t>
            </w:r>
          </w:p>
        </w:tc>
        <w:tc>
          <w:tcPr>
            <w:tcW w:type="dxa" w:w="1152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Pass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Lightweight - no local model loaded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End-to-end AI response (live Gemini)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&lt; 10 seconds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To be measured with a live API key (scenario 4)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2"/>
        </w:rPr>
        <w:t>Step 4: Observations &amp; Analysis</w:t>
      </w:r>
    </w:p>
    <w:p>
      <w:pPr>
        <w:pStyle w:val="ListBullet"/>
        <w:spacing w:after="40"/>
      </w:pPr>
      <w:r>
        <w:t>EduGenie's own processing (routing, validation, prompt building, JSON parsing, response) adds only ~12 ms on average, so total response time is dominated by the Gemini API.</w:t>
      </w:r>
    </w:p>
    <w:p>
      <w:pPr>
        <w:pStyle w:val="ListBullet"/>
        <w:spacing w:after="40"/>
      </w:pPr>
      <w:r>
        <w:t>No errors occurred at 50 concurrent users; blocking Gemini calls run in FastAPI's thread pool, keeping the server responsive.</w:t>
      </w:r>
    </w:p>
    <w:p>
      <w:pPr>
        <w:pStyle w:val="ListBullet"/>
        <w:spacing w:after="40"/>
      </w:pPr>
      <w:r>
        <w:t>Memory use stays very low (~54 MB) because AI inference runs in Google Cloud; enabling the optional local LaMini-Flan-T5 model adds roughly 3 GB.</w:t>
      </w:r>
    </w:p>
    <w:p>
      <w:pPr>
        <w:pStyle w:val="ListBullet"/>
        <w:spacing w:after="40"/>
      </w:pPr>
      <w:r>
        <w:t>For production scale, run several Uvicorn workers or containers behind a load balancer; the stateless design makes horizontal scaling straightforward.</w:t>
      </w:r>
    </w:p>
    <w:p>
      <w:pPr>
        <w:pStyle w:val="ListBullet"/>
        <w:spacing w:after="40"/>
      </w:pPr>
      <w:r>
        <w:t>Gemini overload (HTTP 503 'high demand') and free-tier rate limits (HTTP 429) are the most likely bottleneck under real load; EduGenie retries automatically with exponential backoff, falls back to backup models and otherwise shows a clear message with a Try again button.</w:t>
      </w:r>
    </w:p>
    <w:p>
      <w:pPr>
        <w:keepNext/>
        <w:spacing w:before="200" w:after="80"/>
      </w:pPr>
      <w:r>
        <w:rPr>
          <w:b/>
          <w:sz w:val="22"/>
        </w:rPr>
        <w:t>Step 5: Screenshots / Evidence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2059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dt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59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Load test output (tests/load_test.py) with server resource usage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51766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176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Functional test suite: 40 passed, 3 live tests skipped (require API key)</w:t>
      </w:r>
    </w:p>
    <w:sectPr w:rsidR="00FC693F" w:rsidRPr="0006063C" w:rsidSect="00034616">
      <w:headerReference w:type="default" r:id="rId9"/>
      <w:pgSz w:w="12240" w:h="15840"/>
      <w:pgMar w:top="1296" w:right="1296" w:bottom="1152" w:left="1296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648"/>
      <w:jc w:val="center"/>
      <w:tblLayout w:type="fixed"/>
      <w:tblLook w:firstColumn="1" w:firstRow="1" w:lastColumn="0" w:lastRow="0" w:noHBand="0" w:noVBand="1" w:val="04A0"/>
      <w:tblLayout w:type="fixed"/>
    </w:tblPr>
    <w:tblGrid>
      <w:gridCol w:w="4824"/>
      <w:gridCol w:w="4824"/>
    </w:tblGrid>
    <w:tr>
      <w:tc>
        <w:tcPr>
          <w:tcW w:type="dxa" w:w="4824"/>
        </w:tcPr>
        <w:p>
          <w:r>
            <w:drawing>
              <wp:inline xmlns:a="http://schemas.openxmlformats.org/drawingml/2006/main" xmlns:pic="http://schemas.openxmlformats.org/drawingml/2006/picture">
                <wp:extent cx="1600200" cy="67039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0_X4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67039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24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51560" cy="48565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1_X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48565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 - EduGenie: Google Gemini Powered Learning Assistant</dc:title>
  <dc:subject/>
  <dc:creator>Arumparithi 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